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Data Access Monitoring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 / CJIS</w:t>
            </w:r>
          </w:p>
          <w:p>
            <w:pPr>
              <w:spacing w:after="0"/>
            </w:pPr>
            <w:r>
              <w:rPr>
                <w:rFonts w:ascii="Aptos" w:hAnsi="Aptos"/>
                <w:color w:val="595959"/>
                <w:sz w:val="24"/>
              </w:rPr>
              <w:t>«Minimum for Policy artifacts. Appended “ / CJIS” because access to sensitive data reached through IDACS is in scope.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b/>
                <w:color w:val="1B3A5C"/>
                <w:sz w:val="24"/>
              </w:rPr>
              <w:t xml:space="preserve">How to use this template </w:t>
            </w:r>
            <w:r>
              <w:rPr>
                <w:rFonts w:ascii="Aptos" w:hAnsi="Aptos"/>
                <w:b w:val="0"/>
                <w:color w:val="595959"/>
                <w:sz w:val="24"/>
              </w:rPr>
              <w:t>(delete this box before publishing)</w:t>
            </w:r>
          </w:p>
          <w:p>
            <w:pPr>
              <w:spacing w:after="140"/>
            </w:pPr>
            <w:r>
              <w:rPr>
                <w:rFonts w:ascii="Aptos" w:hAnsi="Aptos"/>
                <w:color w:val="595959"/>
                <w:sz w:val="24"/>
              </w:rPr>
              <w:t>This policy requires the Agency to log access to and attempted disclosure of sensitive data, retain those logs long enough to support audits and investigations, and enforce access controls based on data labels. Replace every [BRACKETED] field, follow the « » guidance, and delete every « » note and this box before you publish.</w:t>
            </w:r>
          </w:p>
          <w:p>
            <w:pPr>
              <w:spacing w:after="0"/>
            </w:pPr>
            <w:r>
              <w:rPr>
                <w:rFonts w:ascii="Aptos" w:hAnsi="Aptos"/>
                <w:b/>
                <w:sz w:val="24"/>
              </w:rPr>
              <w:t xml:space="preserve">Placeholder key: </w:t>
            </w:r>
            <w:r>
              <w:rPr>
                <w:rFonts w:ascii="Aptos" w:hAnsi="Aptos"/>
                <w:b w:val="0"/>
                <w:sz w:val="24"/>
              </w:rPr>
              <w:t>[BRACKETED]</w:t>
            </w:r>
            <w:r>
              <w:rPr>
                <w:rFonts w:ascii="Aptos" w:hAnsi="Aptos"/>
                <w:b w:val="0"/>
                <w:sz w:val="24"/>
              </w:rPr>
              <w:t xml:space="preserve"> = fill in   ·   </w:t>
            </w:r>
            <w:r>
              <w:rPr>
                <w:rFonts w:ascii="Aptos" w:hAnsi="Aptos"/>
                <w:b/>
                <w:sz w:val="24"/>
              </w:rPr>
              <w:t>[REQUIRED]</w:t>
            </w:r>
            <w:r>
              <w:rPr>
                <w:rFonts w:ascii="Aptos" w:hAnsi="Aptos"/>
                <w:b w:val="0"/>
                <w:sz w:val="24"/>
              </w:rPr>
              <w:t xml:space="preserve"> (bold) = required field   ·   </w:t>
            </w:r>
            <w:r>
              <w:rPr>
                <w:rFonts w:ascii="Aptos" w:hAnsi="Aptos"/>
                <w:b w:val="0"/>
                <w:color w:val="595959"/>
                <w:sz w:val="24"/>
              </w:rPr>
              <w:t>« »</w:t>
            </w:r>
            <w:r>
              <w:rPr>
                <w:rFonts w:ascii="Aptos" w:hAnsi="Aptos"/>
                <w:b w:val="0"/>
                <w:sz w:val="24"/>
              </w:rPr>
              <w:t xml:space="preserve"> = guidance to delete.</w:t>
            </w:r>
          </w:p>
          <w:p>
            <w:pPr>
              <w:spacing w:after="140"/>
            </w:pPr>
            <w:r>
              <w:rPr>
                <w:rFonts w:ascii="Aptos" w:hAnsi="Aptos"/>
                <w:color w:val="595959"/>
                <w:sz w:val="24"/>
              </w:rPr>
              <w:t>Data-access events are the focus here. General system, network, and security logging is governed by the Logging Policy; keep the two from overlapping.</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0"/>
          <w:bCs w:val="false"/>
          <w:i w:val="false"/>
          <w:iCs w:val="false"/>
          <w:sz w:val="24"/>
          <w:szCs w:val="24"/>
        </w:rPr>
        <w:t>This policy governs how the Agency records access to sensitive data and attempts to disclose it, so that every look at protected information can be traced to a person, a time, a source, and an action. The aim is to detect misuse early and to hold evidence an audit or investigation can rely on.</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0"/>
          <w:bCs w:val="false"/>
          <w:i w:val="false"/>
          <w:iCs w:val="false"/>
          <w:sz w:val="24"/>
          <w:szCs w:val="24"/>
        </w:rPr>
        <w:t>Applies to: all Agency personnel, contractors, and vendors who access sensitive data or grant access to it, and to every system that stores, displays, or transmits such data.</w:t>
      </w:r>
    </w:p>
    <w:p>
      <w:pPr>
        <w:pStyle w:val="ListParagraph"/>
        <w:numPr>
          <w:ilvl w:val="0"/>
          <w:numId w:val="2"/>
        </w:numPr>
        <w:spacing w:after="60"/>
      </w:pPr>
      <w:r>
        <w:rPr>
          <w:rFonts w:ascii="Aptos" w:cs="Aptos" w:eastAsia="Aptos" w:hAnsi="Aptos"/>
          <w:b w:val="0"/>
          <w:bCs w:val="false"/>
          <w:i w:val="false"/>
          <w:iCs w:val="false"/>
          <w:sz w:val="24"/>
          <w:szCs w:val="24"/>
        </w:rPr>
        <w:t>Covers: access to and attempted disclosure of sensitive data (caller and incident records, personal and medical information, and law-enforcement data reached through IDACS) across CAD, records, and related systems.</w:t>
      </w:r>
    </w:p>
    <w:p>
      <w:pPr>
        <w:pStyle w:val="ListParagraph"/>
        <w:numPr>
          <w:ilvl w:val="0"/>
          <w:numId w:val="2"/>
        </w:numPr>
        <w:spacing w:after="60"/>
      </w:pPr>
      <w:r>
        <w:rPr>
          <w:rFonts w:ascii="Aptos" w:cs="Aptos" w:eastAsia="Aptos" w:hAnsi="Aptos"/>
          <w:b w:val="0"/>
          <w:bCs w:val="false"/>
          <w:i w:val="false"/>
          <w:iCs w:val="false"/>
          <w:sz w:val="24"/>
          <w:szCs w:val="24"/>
        </w:rPr>
        <w:t>Excludes: general system, network, and security-event logging, which is governed by the Logging Policy [and any system operated solely by another agency under a separate agreement].</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val="0"/>
          <w:bCs w:val="false"/>
          <w:i w:val="false"/>
          <w:iCs w:val="false"/>
          <w:sz w:val="24"/>
          <w:szCs w:val="24"/>
        </w:rPr>
        <w:t>Sensitive data: data classified Restricted or Confidential under the Data Classification Policy, including personal, caller, medical, and law-enforcement information.</w:t>
      </w:r>
    </w:p>
    <w:p>
      <w:pPr>
        <w:spacing w:after="120" w:before="0"/>
      </w:pPr>
      <w:r>
        <w:rPr>
          <w:rFonts w:ascii="Aptos" w:cs="Aptos" w:eastAsia="Aptos" w:hAnsi="Aptos"/>
          <w:b w:val="0"/>
          <w:bCs w:val="false"/>
          <w:i w:val="false"/>
          <w:iCs w:val="false"/>
          <w:sz w:val="24"/>
          <w:szCs w:val="24"/>
        </w:rPr>
        <w:t>Data-access event: any read, query, export, print, or disclosure of sensitive data by a person or account.</w:t>
      </w:r>
    </w:p>
    <w:p>
      <w:pPr>
        <w:spacing w:after="120" w:before="0"/>
      </w:pPr>
      <w:r>
        <w:rPr>
          <w:rFonts w:ascii="Aptos" w:cs="Aptos" w:eastAsia="Aptos" w:hAnsi="Aptos"/>
          <w:b w:val="0"/>
          <w:bCs w:val="false"/>
          <w:i w:val="false"/>
          <w:iCs w:val="false"/>
          <w:sz w:val="24"/>
          <w:szCs w:val="24"/>
        </w:rPr>
        <w:t>Anomalous access: access that is denied, falls outside a user’s assigned role or normal pattern, or exceeds the clearance set by the data’s label.</w:t>
      </w:r>
    </w:p>
    <w:p>
      <w:pPr>
        <w:pStyle w:val="Heading2"/>
        <w:spacing w:after="100" w:before="220"/>
      </w:pPr>
      <w:r>
        <w:rPr>
          <w:rFonts w:ascii="Aptos" w:cs="Aptos" w:eastAsia="Aptos" w:hAnsi="Aptos"/>
          <w:b/>
          <w:bCs/>
          <w:color w:val="1B3A5C"/>
          <w:sz w:val="26"/>
          <w:szCs w:val="26"/>
        </w:rPr>
        <w:t xml:space="preserve">4. Policy Statement</w:t>
      </w:r>
    </w:p>
    <w:p>
      <w:pPr>
        <w:spacing w:after="14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pStyle w:val="ListParagraph"/>
        <w:numPr>
          <w:ilvl w:val="0"/>
          <w:numId w:val="3"/>
        </w:numPr>
        <w:spacing w:after="60"/>
      </w:pPr>
      <w:r>
        <w:rPr>
          <w:rFonts w:ascii="Aptos" w:cs="Aptos" w:eastAsia="Aptos" w:hAnsi="Aptos"/>
          <w:b w:val="0"/>
          <w:bCs w:val="false"/>
          <w:i w:val="false"/>
          <w:iCs w:val="false"/>
          <w:sz w:val="24"/>
          <w:szCs w:val="24"/>
        </w:rPr>
        <w:t>The Agency shall log every access to and attempted disclosure of sensitive data, capturing at minimum the user or account, the date and time, the source device or location, the data or record reached, and the action taken.</w:t>
      </w:r>
    </w:p>
    <w:p>
      <w:pPr>
        <w:pStyle w:val="ListParagraph"/>
        <w:numPr>
          <w:ilvl w:val="0"/>
          <w:numId w:val="3"/>
        </w:numPr>
        <w:spacing w:after="60"/>
      </w:pPr>
      <w:r>
        <w:rPr>
          <w:rFonts w:ascii="Aptos" w:cs="Aptos" w:eastAsia="Aptos" w:hAnsi="Aptos"/>
          <w:b w:val="0"/>
          <w:bCs w:val="false"/>
          <w:i w:val="false"/>
          <w:iCs w:val="false"/>
          <w:sz w:val="24"/>
          <w:szCs w:val="24"/>
        </w:rPr>
        <w:t>Access controls shall enforce the classification label on the data; access that exceeds a user’s role or clearance is denied, and every denial is logged.</w:t>
      </w:r>
    </w:p>
    <w:p>
      <w:pPr>
        <w:pStyle w:val="ListParagraph"/>
        <w:numPr>
          <w:ilvl w:val="0"/>
          <w:numId w:val="3"/>
        </w:numPr>
        <w:spacing w:after="60"/>
      </w:pPr>
      <w:r>
        <w:rPr>
          <w:rFonts w:ascii="Aptos" w:cs="Aptos" w:eastAsia="Aptos" w:hAnsi="Aptos"/>
          <w:b w:val="0"/>
          <w:bCs w:val="false"/>
          <w:i w:val="false"/>
          <w:iCs w:val="false"/>
          <w:sz w:val="24"/>
          <w:szCs w:val="24"/>
        </w:rPr>
        <w:t>The Agency shall retain data-access logs for at least {retentionPeriod} to support audit and investigation, and longer where CJIS or Indiana law requires.</w:t>
      </w:r>
    </w:p>
    <w:p>
      <w:pPr>
        <w:pStyle w:val="ListParagraph"/>
        <w:numPr>
          <w:ilvl w:val="0"/>
          <w:numId w:val="3"/>
        </w:numPr>
        <w:spacing w:after="60"/>
      </w:pPr>
      <w:r>
        <w:rPr>
          <w:rFonts w:ascii="Aptos" w:cs="Aptos" w:eastAsia="Aptos" w:hAnsi="Aptos"/>
          <w:b w:val="0"/>
          <w:bCs w:val="false"/>
          <w:i w:val="false"/>
          <w:iCs w:val="false"/>
          <w:sz w:val="24"/>
          <w:szCs w:val="24"/>
        </w:rPr>
        <w:t>The {ownerRole} shall review data-access logs on a set cadence ([e.g., weekly]) for anomalous access and record that the review took place.</w:t>
      </w:r>
    </w:p>
    <w:p>
      <w:pPr>
        <w:pStyle w:val="ListParagraph"/>
        <w:numPr>
          <w:ilvl w:val="0"/>
          <w:numId w:val="3"/>
        </w:numPr>
        <w:spacing w:after="60"/>
      </w:pPr>
      <w:r>
        <w:rPr>
          <w:rFonts w:ascii="Aptos" w:cs="Aptos" w:eastAsia="Aptos" w:hAnsi="Aptos"/>
          <w:b w:val="0"/>
          <w:bCs w:val="false"/>
          <w:i w:val="false"/>
          <w:iCs w:val="false"/>
          <w:sz w:val="24"/>
          <w:szCs w:val="24"/>
        </w:rPr>
        <w:t>Anomalies and confirmed misuse are escalated and handled under the Incident Response Plan.</w:t>
      </w:r>
    </w:p>
    <w:p>
      <w:pPr>
        <w:pStyle w:val="ListParagraph"/>
        <w:numPr>
          <w:ilvl w:val="0"/>
          <w:numId w:val="3"/>
        </w:numPr>
        <w:spacing w:after="60"/>
      </w:pPr>
      <w:r>
        <w:rPr>
          <w:rFonts w:ascii="Aptos" w:cs="Aptos" w:eastAsia="Aptos" w:hAnsi="Aptos"/>
          <w:b w:val="0"/>
          <w:bCs w:val="false"/>
          <w:i w:val="false"/>
          <w:iCs w:val="false"/>
          <w:sz w:val="24"/>
          <w:szCs w:val="24"/>
        </w:rPr>
        <w:t>Data-access logs are protected against alteration and are readable only by authorized reviewers.</w:t>
      </w:r>
    </w:p>
    <w:p>
      <w:pPr>
        <w:pStyle w:val="ListParagraph"/>
        <w:numPr>
          <w:ilvl w:val="0"/>
          <w:numId w:val="3"/>
        </w:numPr>
        <w:spacing w:after="60"/>
      </w:pPr>
      <w:r>
        <w:rPr>
          <w:rFonts w:ascii="Aptos" w:cs="Aptos" w:eastAsia="Aptos" w:hAnsi="Aptos"/>
          <w:b w:val="0"/>
          <w:bCs w:val="false"/>
          <w:i w:val="false"/>
          <w:iCs w:val="false"/>
          <w:sz w:val="24"/>
          <w:szCs w:val="24"/>
        </w:rPr>
        <w:t>Access to sensitive data reached through IDACS is governed in addition by the CJIS Handling Addendum below.</w:t>
      </w:r>
    </w:p>
    <w:p>
      <w:pPr>
        <w:pStyle w:val="Heading2"/>
        <w:spacing w:after="100" w:before="220"/>
      </w:pPr>
      <w:r>
        <w:rPr>
          <w:rFonts w:ascii="Aptos" w:cs="Aptos" w:eastAsia="Aptos" w:hAnsi="Aptos"/>
          <w:b/>
          <w:bCs/>
          <w:color w:val="1B3A5C"/>
          <w:sz w:val="26"/>
          <w:szCs w:val="26"/>
        </w:rPr>
        <w:t xml:space="preserve">5.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{directorName}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Owns this policy, sets review cadences, and approves exceptions.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{itSupport}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Configures access logging and label-based enforcement, and protects logs against alteration.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{securityReviewerRole}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Reviews data-access logs for anomalies and reports suspected misuse.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{allPersonnel}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Access only the data their role requires and report access that looks wrong.</w:t>
            </w:r>
          </w:p>
        </w:tc>
      </w:tr>
    </w:tbl>
    <w:p>
      <w:pPr>
        <w:pStyle w:val="Heading2"/>
        <w:spacing w:after="100" w:before="220"/>
      </w:pPr>
      <w:r>
        <w:rPr>
          <w:rFonts w:ascii="Aptos" w:cs="Aptos" w:eastAsia="Aptos" w:hAnsi="Aptos"/>
          <w:b/>
          <w:bCs/>
          <w:color w:val="1B3A5C"/>
          <w:sz w:val="26"/>
          <w:szCs w:val="26"/>
        </w:rPr>
        <w:t xml:space="preserve">6.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0"/>
          <w:bCs w:val="false"/>
          <w:i w:val="false"/>
          <w:iCs w:val="false"/>
          <w:sz w:val="24"/>
          <w:szCs w:val="24"/>
        </w:rPr>
        <w:t>The {directorName} monitors compliance. Access that bypasses logging or label controls is corrected, and repeated violations are handled under the Agency’s corrective-action process.</w:t>
      </w:r>
    </w:p>
    <w:p>
      <w:pPr>
        <w:pStyle w:val="Heading2"/>
        <w:spacing w:after="100" w:before="220"/>
      </w:pPr>
      <w:r>
        <w:rPr>
          <w:rFonts w:ascii="Aptos" w:cs="Aptos" w:eastAsia="Aptos" w:hAnsi="Aptos"/>
          <w:b/>
          <w:bCs/>
          <w:color w:val="1B3A5C"/>
          <w:sz w:val="26"/>
          <w:szCs w:val="26"/>
        </w:rPr>
        <w:t xml:space="preserve">7.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b w:val="0"/>
          <w:bCs w:val="false"/>
          <w:i w:val="false"/>
          <w:iCs w:val="false"/>
          <w:sz w:val="24"/>
          <w:szCs w:val="24"/>
        </w:rPr>
        <w:t>Exceptions require written approval from the {directorName}, must state the data affected and any compensating control, and expire after {period} unless renewed.</w:t>
      </w:r>
    </w:p>
    <w:p>
      <w:pPr>
        <w:pStyle w:val="Heading2"/>
        <w:spacing w:after="100" w:before="220"/>
      </w:pPr>
      <w:r>
        <w:rPr>
          <w:rFonts w:ascii="Aptos" w:cs="Aptos" w:eastAsia="Aptos" w:hAnsi="Aptos"/>
          <w:b/>
          <w:bCs/>
          <w:color w:val="1B3A5C"/>
          <w:sz w:val="26"/>
          <w:szCs w:val="26"/>
        </w:rPr>
        <w:t xml:space="preserve">8.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0"/>
          <w:bCs w:val="false"/>
          <w:i w:val="false"/>
          <w:iCs w:val="false"/>
          <w:sz w:val="24"/>
          <w:szCs w:val="24"/>
        </w:rPr>
        <w:t>This policy is reviewed at least annually and after any significant change to the Agency’s systems or data-handling practices, by the {ownerRole2}.</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Adopt as written. With no in-house IT, rely on the access and audit logs the CAD and records systems already produce; the director or a designated reviewer checks them {reviewCadence} and keeps a dated note of the review. Move toward automated alerting when the county adds tooling.</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A named coordinator runs a {reviewCadence2} log review with county IT and routes anomalies to incident response. Begin forwarding data-access logs to a central store so reviews do not depend on each system’s own screen.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Feed data-access events into a SIEM with automated alerts on denials and out-of-pattern access. Security reviews continuously and reports review status to leadership.</w:t>
            </w:r>
          </w:p>
        </w:tc>
      </w:tr>
    </w:tbl>
    <w:p>
      <w:pPr>
        <w:pStyle w:val="Heading2"/>
        <w:spacing w:after="100" w:before="220"/>
      </w:pPr>
      <w:r>
        <w:rPr>
          <w:rFonts w:ascii="Aptos" w:cs="Aptos" w:eastAsia="Aptos" w:hAnsi="Aptos"/>
          <w:b/>
          <w:bCs/>
          <w:color w:val="1B3A5C"/>
          <w:sz w:val="26"/>
          <w:szCs w:val="26"/>
        </w:rPr>
        <w:t xml:space="preserve">CJIS Handling Addendum</w:t>
      </w:r>
    </w:p>
    <w:p>
      <w:pPr>
        <w:spacing w:after="140"/>
      </w:pPr>
      <w:r>
        <w:rPr>
          <w:rFonts w:ascii="Aptos" w:cs="Aptos" w:eastAsia="Aptos" w:hAnsi="Aptos"/>
          <w:i/>
          <w:iCs/>
          <w:color w:val="595959"/>
          <w:sz w:val="24"/>
          <w:szCs w:val="24"/>
        </w:rPr>
        <w:t xml:space="preserve">«Optional. Include only if this policy touches CJIS-regulated data (in Indiana, typically via IDACS). Do not restate the CJIS Security Policy; reference it. Delete if not applicable.»</w:t>
      </w:r>
    </w:p>
    <w:p>
      <w:pPr>
        <w:spacing w:after="120" w:before="0"/>
      </w:pPr>
      <w:r>
        <w:rPr>
          <w:rFonts w:ascii="Aptos" w:cs="Aptos" w:eastAsia="Aptos" w:hAnsi="Aptos"/>
          <w:b w:val="0"/>
          <w:bCs w:val="false"/>
          <w:i w:val="false"/>
          <w:iCs w:val="false"/>
          <w:sz w:val="24"/>
          <w:szCs w:val="24"/>
        </w:rPr>
        <w:t>CJIS Handling: Access to sensitive data carrying CJIS-regulated information, reached in Indiana through IDACS, is governed by the FBI CJIS Security Policy §5.4 (Auditing and Accountability) and §5.5 (Access Control) and 240 IAC 5 in addition to the controls above. For CJIS-specific handling rules, follow the CJIS Data Handling Addendum.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color w:val="1B3A5C"/>
                <w:sz w:val="24"/>
              </w:rPr>
              <w:t>Source Authority</w:t>
            </w:r>
          </w:p>
          <w:p>
            <w:pPr>
              <w:spacing w:after="140"/>
            </w:pPr>
            <w:r>
              <w:rPr>
                <w:rFonts w:ascii="Aptos" w:hAnsi="Aptos"/>
                <w:b w:val="0"/>
                <w:sz w:val="24"/>
              </w:rPr>
              <w:t>NENA-STA-040.2-2024: §4.2.2, §5.6, §5.6.1, §5.6.2</w:t>
            </w:r>
          </w:p>
          <w:p>
            <w:pPr>
              <w:spacing w:after="40" w:before="0"/>
            </w:pPr>
            <w:r>
              <w:rPr>
                <w:rFonts w:ascii="Aptos" w:hAnsi="Aptos"/>
                <w:b w:val="0"/>
                <w:sz w:val="24"/>
              </w:rPr>
              <w:t>NIST SP 800-53 Rev. 5: AC-3, AC-6, AC-16, AU-2, AU-3, AU-6, AU-9, AU-11, AU-12</w:t>
            </w:r>
          </w:p>
          <w:p>
            <w:pPr>
              <w:spacing w:after="40" w:before="0"/>
            </w:pPr>
            <w:r>
              <w:rPr>
                <w:rFonts w:ascii="Aptos" w:hAnsi="Aptos"/>
                <w:b w:val="0"/>
                <w:sz w:val="24"/>
              </w:rPr>
              <w:t>Indiana statutes and administrative code:</w:t>
            </w:r>
          </w:p>
          <w:p>
            <w:pPr>
              <w:spacing w:after="40" w:before="0"/>
            </w:pPr>
            <w:r>
              <w:rPr>
                <w:rFonts w:ascii="Aptos" w:hAnsi="Aptos"/>
                <w:b w:val="0"/>
                <w:sz w:val="24"/>
              </w:rPr>
              <w:t xml:space="preserve">    HEA 1169 (2021): Cyber Incident Reporting to IOT</w:t>
            </w:r>
          </w:p>
          <w:p>
            <w:pPr>
              <w:spacing w:after="0" w:before="0"/>
            </w:pPr>
            <w:r>
              <w:rPr>
                <w:rFonts w:ascii="Aptos" w:hAnsi="Aptos"/>
                <w:b w:val="0"/>
                <w:sz w:val="24"/>
              </w:rPr>
              <w:t xml:space="preserve">    IC 24-4.9: Data Breach Notification</w:t>
            </w:r>
          </w:p>
          <w:p>
            <w:r>
              <w:rPr>
                <w:rFonts w:ascii="Aptos" w:hAnsi="Aptos"/>
                <w:b w:val="0"/>
                <w:sz w:val="24"/>
              </w:rPr>
              <w:t xml:space="preserve">    240 IAC 5: IDACS Security (where IDACS is in scope)</w:t>
            </w:r>
          </w:p>
          <w:p>
            <w:r>
              <w:rPr>
                <w:rFonts w:ascii="Aptos" w:hAnsi="Aptos"/>
                <w:b w:val="0"/>
                <w:sz w:val="24"/>
              </w:rPr>
              <w:t>CJIS Security Policy v5.9: §5.4 (Auditing and Accountability), §5.5 (Access Control;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{ownerRole3}</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b/>
                <w:color w:val="1B3A5C"/>
                <w:sz w:val="24"/>
              </w:rPr>
              <w:t xml:space="preserve">Drafter’s note </w:t>
            </w:r>
            <w:r>
              <w:rPr>
                <w:rFonts w:ascii="Aptos" w:hAnsi="Aptos"/>
                <w:b w:val="0"/>
                <w:color w:val="595959"/>
                <w:sz w:val="24"/>
              </w:rPr>
              <w:t>(internal, delete before publishing)</w:t>
            </w:r>
          </w:p>
          <w:p>
            <w:pPr>
              <w:spacing w:after="140"/>
            </w:pPr>
            <w:r>
              <w:rPr>
                <w:rFonts w:ascii="Aptos" w:hAnsi="Aptos"/>
                <w:color w:val="595959"/>
                <w:sz w:val="24"/>
              </w:rPr>
              <w:t>Build-order item #31. Classification set to Internal / CJIS: the policy governs access to both CJIS and non-CJIS data, and the CJIS portion (law-enforcement data via IDACS) carries the overlay. CJIS-specific handling is cross-referenced to the CJIS Data Handling Addendum rather than restated.</w:t>
            </w:r>
          </w:p>
          <w:p>
            <w:r>
              <w:rPr>
                <w:rFonts w:ascii="Aptos" w:hAnsi="Aptos"/>
                <w:color w:val="595959"/>
                <w:sz w:val="24"/>
              </w:rPr>
              <w:t>Scope deliberately stops at data-access events; general logging belongs to the Logging Policy, and log-review evidence is recorded in Log Review Records. Cross-referenced artifacts use Tracker names: Data Classification Policy, Data Labeling Procedures, Incident Response Plan, Logging Policy, Log Review Records, CJIS Data Handling Addendum.</w:t>
            </w:r>
          </w:p>
          <w:p>
            <w:r>
              <w:rPr>
                <w:rFonts w:ascii="Aptos" w:hAnsi="Aptos"/>
                <w:color w:val="595959"/>
                <w:sz w:val="24"/>
              </w:rPr>
              <w:t>Agency-supplied values left in brackets: retention period, review cadences (annual / weekly / monthly), owner role, and exception period.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2026-06-01T15:29:11.401Z</dcterms:created>
  <dcterms:modified xsi:type="dcterms:W3CDTF">2026-06-01T15:29:11.401Z</dcterms:modified>
</cp:coreProperties>
</file>

<file path=docProps/custom.xml><?xml version="1.0" encoding="utf-8"?>
<Properties xmlns="http://schemas.openxmlformats.org/officeDocument/2006/custom-properties" xmlns:vt="http://schemas.openxmlformats.org/officeDocument/2006/docPropsVTypes"/>
</file>