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'1.0' encoding='UTF-8' standalone='yes'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<w:body><w:p><w:pPr><w:spacing w:after="60"/></w:pPr><w:r><w:rPr><w:rFonts w:ascii="Aptos" w:cs="Aptos" w:eastAsia="Aptos" w:hAnsi="Aptos"/><w:b/><w:bCs/><w:color w:val="1B3A5C"/><w:sz w:val="40"/><w:szCs w:val="40"/></w:rPr><w:t>Change Management Policy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360"/></w:tblGrid><w:tr><w:tc><w:tcPr><w:tcW w:type="dxa" w:w="9360"/><w:tcBorders><w:top w:val="single" w:color="BFBFBF" w:sz="4"/><w:left w:val="single" w:color="BFBFBF" w:sz="4"/><w:bottom w:val="single" w:color="BFBFBF" w:sz="4"/><w:right w:val="single" w:color="BFBFBF" w:sz="4"/></w:tcBorders><w:shd w:fill="EEF2F7" w:val="clear"/><w:tcMar><w:top w:type="dxa" w:w="80"/><w:left w:type="dxa" w:w="120"/><w:bottom w:type="dxa" w:w="80"/><w:right w:type="dxa" w:w="120"/></w:tcMar></w:tcPr><w:p><w:pPr><w:spacing w:after="60"/></w:pPr><w:r><w:rPr><w:rFonts w:ascii="Aptos" w:cs="Aptos" w:eastAsia="Aptos" w:hAnsi="Aptos"/><w:b/><w:bCs/><w:i w:val="false"/><w:iCs w:val="false"/><w:sz w:val="24"/><w:szCs w:val="24"/></w:rPr><w:t xml:space="preserve">Authority: </w:t></w:r><w:r><w:rPr><w:rFonts w:ascii="Aptos" w:cs="Aptos" w:eastAsia="Aptos" w:hAnsi="Aptos"/><w:b w:val="false"/><w:bCs w:val="false"/><w:i w:val="false"/><w:iCs w:val="false"/><w:sz w:val="24"/><w:szCs w:val="24"/></w:rPr><w:t xml:space="preserve">Adopted by </w:t></w:r><w:r><w:rPr><w:rFonts w:ascii="Aptos" w:cs="Aptos" w:eastAsia="Aptos" w:hAnsi="Aptos"/><w:b/><w:bCs/><w:i w:val="false"/><w:iCs w:val="false"/><w:sz w:val="24"/><w:szCs w:val="24"/></w:rPr><w:t xml:space="preserve">[Agency Name]</w:t></w:r><w:r><w:rPr><w:rFonts w:ascii="Aptos" w:cs="Aptos" w:eastAsia="Aptos" w:hAnsi="Aptos"/><w:b w:val="false"/><w:bCs w:val="false"/><w:i w:val="false"/><w:iCs w:val="false"/><w:sz w:val="24"/><w:szCs w:val="24"/></w:rPr><w:t xml:space="preserve"> under the authority of </w:t></w:r><w:r><w:rPr><w:rFonts w:ascii="Aptos" w:cs="Aptos" w:eastAsia="Aptos" w:hAnsi="Aptos"/><w:b/><w:bCs/><w:i w:val="false"/><w:iCs w:val="false"/><w:sz w:val="24"/><w:szCs w:val="24"/></w:rPr><w:t xml:space="preserve">[Signing Official & Title]</w:t></w:r><w:r><w:rPr><w:rFonts w:ascii="Aptos" w:cs="Aptos" w:eastAsia="Aptos" w:hAnsi="Aptos"/><w:b w:val="false"/><w:bCs w:val="false"/><w:i w:val="false"/><w:iCs w:val="false"/><w:sz w:val="24"/><w:szCs w:val="24"/></w:rPr><w:t xml:space="preserve">.</w:t></w:r></w:p><w:p><w:pPr><w:spacing w:after="60"/></w:pPr><w:r><w:rPr><w:rFonts w:ascii="Aptos" w:cs="Aptos" w:eastAsia="Aptos" w:hAnsi="Aptos"/><w:b/><w:bCs/><w:i w:val="false"/><w:iCs w:val="false"/><w:sz w:val="24"/><w:szCs w:val="24"/></w:rPr><w:t xml:space="preserve">Version: </w:t></w:r><w:r><w:rPr><w:rFonts w:ascii="Aptos" w:cs="Aptos" w:eastAsia="Aptos" w:hAnsi="Aptos"/><w:b w:val="false"/><w:bCs w:val="false"/><w:i w:val="false"/><w:iCs w:val="false"/><w:sz w:val="24"/><w:szCs w:val="24"/></w:rPr><w:t xml:space="preserve">[Version]    </w:t></w:r><w:r><w:rPr><w:rFonts w:ascii="Aptos" w:cs="Aptos" w:eastAsia="Aptos" w:hAnsi="Aptos"/><w:b/><w:bCs/><w:i w:val="false"/><w:iCs w:val="false"/><w:sz w:val="24"/><w:szCs w:val="24"/></w:rPr><w:t xml:space="preserve">Effective Date: </w:t></w:r><w:r><w:rPr><w:rFonts w:ascii="Aptos" w:cs="Aptos" w:eastAsia="Aptos" w:hAnsi="Aptos"/><w:b w:val="false"/><w:bCs w:val="false"/><w:i w:val="false"/><w:iCs w:val="false"/><w:sz w:val="24"/><w:szCs w:val="24"/></w:rPr><w:t xml:space="preserve">[Effective Date]    </w:t></w:r><w:r><w:rPr><w:rFonts w:ascii="Aptos" w:cs="Aptos" w:eastAsia="Aptos" w:hAnsi="Aptos"/><w:b/><w:bCs/><w:i w:val="false"/><w:iCs w:val="false"/><w:sz w:val="24"/><w:szCs w:val="24"/></w:rPr><w:t xml:space="preserve">Next Review: </w:t></w:r><w:r><w:rPr><w:rFonts w:ascii="Aptos" w:cs="Aptos" w:eastAsia="Aptos" w:hAnsi="Aptos"/><w:b w:val="false"/><w:bCs w:val="false"/><w:i w:val="false"/><w:iCs w:val="false"/><w:sz w:val="24"/><w:szCs w:val="24"/></w:rPr><w:t xml:space="preserve">[Effective Date]</w:t></w:r></w:p><w:p><w:pPr><w:spacing w:after="60"/></w:pPr><w:r><w:rPr><w:rFonts w:ascii="Aptos" w:cs="Aptos" w:eastAsia="Aptos" w:hAnsi="Aptos"/><w:b/><w:bCs/><w:i w:val="false"/><w:iCs w:val="false"/><w:sz w:val="24"/><w:szCs w:val="24"/></w:rPr><w:t xml:space="preserve">Owner: </w:t></w:r><w:r><w:rPr><w:rFonts w:ascii="Aptos" w:cs="Aptos" w:eastAsia="Aptos" w:hAnsi="Aptos"/><w:b w:val="false"/><w:bCs w:val="false"/><w:i w:val="false"/><w:iCs w:val="false"/><w:sz w:val="24"/><w:szCs w:val="24"/></w:rPr><w:t xml:space="preserve">[Role Title]   </w:t></w:r><w:r><w:rPr><w:rFonts w:ascii="Aptos" w:cs="Aptos" w:eastAsia="Aptos" w:hAnsi="Aptos"/><w:b w:val="false"/><w:bCs w:val="false"/><w:i/><w:iCs/><w:color w:val="595959"/><w:sz w:val="24"/><w:szCs w:val="24"/></w:rPr><w:t xml:space="preserve">«use a role, not a person’s name.»</w:t></w:r></w:p><w:p><w:pPr><w:spacing w:after="20"/></w:pPr><w:r><w:rPr><w:rFonts w:ascii="Aptos" w:cs="Aptos" w:eastAsia="Aptos" w:hAnsi="Aptos"/><w:b/><w:bCs/><w:i w:val="false"/><w:iCs w:val="false"/><w:sz w:val="24"/><w:szCs w:val="24"/></w:rPr><w:t xml:space="preserve">Classification: </w:t></w:r><w:r><w:rPr><w:rFonts w:ascii="Aptos" w:cs="Aptos" w:eastAsia="Aptos" w:hAnsi="Aptos"/><w:b w:val="false"/><w:bCs w:val="false"/><w:i w:val="false"/><w:iCs w:val="false"/><w:sz w:val="24"/><w:szCs w:val="24"/></w:rPr><w:t xml:space="preserve">Internal</w:t></w:r></w:p><w:p><w:pPr><w:spacing w:after="0"/></w:pPr><w:r><w:rPr><w:rFonts w:ascii="Aptos" w:cs="Aptos" w:eastAsia="Aptos" w:hAnsi="Aptos"/><w:i/><w:iCs/><w:color w:val="595959"/><w:sz w:val="24"/><w:szCs w:val="24"/></w:rPr><w:t xml:space="preserve">«Minimum for Policy artifacts. Your agency may raise this but not lower it. Append “ / CJIS” if CJIS-regulated data is in scope. Raise to Restricted if this policy embeds specific operational configuration or response logic.»</w:t></w:r></w:p></w:tc></w:tr></w:tbl><w:p><w:pPr><w:spacing w:after="60"/></w:pP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360"/></w:tblGrid><w:tr><w:tc><w:tcPr><w:tcW w:type="dxa" w:w="9360"/><w:tcBorders><w:top w:val="single" w:color="BFBFBF" w:sz="4"/><w:left w:val="single" w:color="BFBFBF" w:sz="4"/><w:bottom w:val="single" w:color="BFBFBF" w:sz="4"/><w:right w:val="single" w:color="BFBFBF" w:sz="4"/></w:tcBorders><w:shd w:fill="F4F1E8" w:val="clear"/><w:tcMar><w:top w:type="dxa" w:w="80"/><w:left w:type="dxa" w:w="120"/><w:bottom w:type="dxa" w:w="80"/><w:right w:type="dxa" w:w="120"/></w:tcMar></w:tcPr><w:p><w:pPr><w:spacing w:after="60"/></w:pPr><w:r><w:rPr><w:rFonts w:ascii="Aptos" w:cs="Aptos" w:eastAsia="Aptos" w:hAnsi="Aptos"/><w:b/><w:bCs/><w:i w:val="false"/><w:iCs w:val="false"/><w:color w:val="1B3A5C"/><w:sz w:val="24"/><w:szCs w:val="24"/></w:rPr><w:t xml:space="preserve">How to use this template </w:t></w:r><w:r><w:rPr><w:rFonts w:ascii="Aptos" w:cs="Aptos" w:eastAsia="Aptos" w:hAnsi="Aptos"/><w:b w:val="false"/><w:bCs w:val="false"/><w:i/><w:iCs/><w:color w:val="595959"/><w:sz w:val="24"/><w:szCs w:val="24"/></w:rPr><w:t xml:space="preserve">(delete this box before publishing)</w:t></w:r></w:p><w:p><w:pPr><w:spacing w:after="140"/></w:pPr><w:r><w:rPr><w:rFonts w:ascii="Aptos" w:cs="Aptos" w:eastAsia="Aptos" w:hAnsi="Aptos"/><w:i/><w:iCs/><w:color w:val="595959"/><w:sz w:val="24"/><w:szCs w:val="24"/></w:rPr><w:t>This template is ready to adopt. Replace every [BRACKETED] field with your agency's information, follow the « » guidance notes, and delete every « » note and this box before you publish.</w:t></w:r></w:p><w:p><w:pPr><w:spacing w:after="0"/></w:pPr><w:r><w:rPr><w:rFonts w:ascii="Aptos" w:cs="Aptos" w:eastAsia="Aptos" w:hAnsi="Aptos"/><w:b/><w:bCs/><w:i w:val="false"/><w:iCs w:val="false"/><w:sz w:val="24"/><w:szCs w:val="24"/></w:rPr><w:t xml:space="preserve">Placeholder key: </w:t></w:r><w:r><w:rPr><w:rFonts w:ascii="Aptos" w:cs="Aptos" w:eastAsia="Aptos" w:hAnsi="Aptos"/><w:b w:val="false"/><w:bCs w:val="false"/><w:i w:val="false"/><w:iCs w:val="false"/><w:sz w:val="24"/><w:szCs w:val="24"/></w:rPr><w:t xml:space="preserve">[BRACKETED]</w:t></w:r><w:r><w:rPr><w:rFonts w:ascii="Aptos" w:cs="Aptos" w:eastAsia="Aptos" w:hAnsi="Aptos"/><w:b w:val="false"/><w:bCs w:val="false"/><w:i w:val="false"/><w:iCs w:val="false"/><w:sz w:val="24"/><w:szCs w:val="24"/></w:rPr><w:t xml:space="preserve"> = fill in   ·   </w:t></w:r><w:r><w:rPr><w:rFonts w:ascii="Aptos" w:cs="Aptos" w:eastAsia="Aptos" w:hAnsi="Aptos"/><w:b/><w:bCs/><w:i w:val="false"/><w:iCs w:val="false"/><w:sz w:val="24"/><w:szCs w:val="24"/></w:rPr><w:t xml:space="preserve">[REQUIRED]</w:t></w:r><w:r><w:rPr><w:rFonts w:ascii="Aptos" w:cs="Aptos" w:eastAsia="Aptos" w:hAnsi="Aptos"/><w:b w:val="false"/><w:bCs w:val="false"/><w:i w:val="false"/><w:iCs w:val="false"/><w:sz w:val="24"/><w:szCs w:val="24"/></w:rPr><w:t xml:space="preserve"> (bold) = required field   ·   </w:t></w:r><w:r><w:rPr><w:rFonts w:ascii="Aptos" w:cs="Aptos" w:eastAsia="Aptos" w:hAnsi="Aptos"/><w:b w:val="false"/><w:bCs w:val="false"/><w:i/><w:iCs/><w:color w:val="595959"/><w:sz w:val="24"/><w:szCs w:val="24"/></w:rPr><w:t xml:space="preserve">« »</w:t></w:r><w:r><w:rPr><w:rFonts w:ascii="Aptos" w:cs="Aptos" w:eastAsia="Aptos" w:hAnsi="Aptos"/><w:b w:val="false"/><w:bCs w:val="false"/><w:i w:val="false"/><w:iCs w:val="false"/><w:sz w:val="24"/><w:szCs w:val="24"/></w:rPr><w:t xml:space="preserve"> = guidance to delete.</w:t></w:r></w:p><w:p><w:pPr><w:spacing w:after="140"/></w:pPr><w:r><w:rPr><w:rFonts w:ascii="Aptos" w:cs="Aptos" w:eastAsia="Aptos" w:hAnsi="Aptos"/><w:i/><w:iCs/><w:color w:val="595959"/><w:sz w:val="24"/><w:szCs w:val="24"/></w:rPr><w:t xml:space="preserve">Keep the body director-readable. Push technical detail and contact lists to an appendix. Source Authority, approval signatures, and revision history stay at the foot of the document.</w:t></w:r></w:p></w:tc></w:tr></w:tbl><w:p><w:pPr><w:pStyle w:val="Heading2"/><w:spacing w:after="100" w:before="220"/></w:pPr><w:r><w:rPr><w:rFonts w:ascii="Aptos" w:cs="Aptos" w:eastAsia="Aptos" w:hAnsi="Aptos"/><w:b/><w:bCs/><w:color w:val="1B3A5C"/><w:sz w:val="26"/><w:szCs w:val="26"/></w:rPr><w:t xml:space="preserve">1. Purpose</w:t></w:r></w:p><w:p><w:pPr><w:spacing w:after="140"/></w:pPr><w:r><w:rPr><w:rFonts w:ascii="Aptos" w:cs="Aptos" w:eastAsia="Aptos" w:hAnsi="Aptos"/><w:i/><w:iCs/><w:color w:val="595959"/><w:sz w:val="24"/><w:szCs w:val="24"/></w:rPr><w:t xml:space="preserve">«Two or three sentences: what this policy governs and why the Agency maintains it. Name the outcome, not the activity.»</w:t></w:r></w:p><w:p><w:pPr><w:spacing w:after="120" w:before="0"/></w:pPr><w:r><w:rPr><w:rFonts w:ascii="Aptos" w:cs="Aptos" w:eastAsia="Aptos" w:hAnsi="Aptos"/><w:b w:val="false"/><w:bCs w:val="false"/><w:i w:val="false"/><w:iCs w:val="false"/><w:sz w:val="24"/><w:szCs w:val="24"/></w:rPr><w:t>This policy governs how [Agency Name] makes changes to its systems: what counts as a change, how changes are approved and documented, and how deviations are reviewed. It applies across every system and device, and is the parent for the Agency's change, patch, and configuration records.</w:t></w:r></w:p><w:p><w:pPr><w:pStyle w:val="Heading2"/><w:spacing w:after="100" w:before="220"/></w:pPr><w:r><w:rPr><w:rFonts w:ascii="Aptos" w:cs="Aptos" w:eastAsia="Aptos" w:hAnsi="Aptos"/><w:b/><w:bCs/><w:color w:val="1B3A5C"/><w:sz w:val="26"/><w:szCs w:val="26"/></w:rPr><w:t xml:space="preserve">2. Scope</w:t></w:r></w:p><w:p><w:pPr><w:spacing w:after="140"/></w:pPr><w:r><w:rPr><w:rFonts w:ascii="Aptos" w:cs="Aptos" w:eastAsia="Aptos" w:hAnsi="Aptos"/><w:i/><w:iCs/><w:color w:val="595959"/><w:sz w:val="24"/><w:szCs w:val="24"/></w:rPr><w:t xml:space="preserve">«Who and what the policy covers, and what it excludes. State exclusions explicitly.»</w:t></w:r></w:p><w:p><w:pPr><w:pStyle w:val="ListParagraph"/><w:numPr><w:ilvl w:val="0"/><w:numId w:val="2"/></w:numPr><w:spacing w:after="60"/></w:pPr><w:r><w:rPr><w:rFonts w:ascii="Aptos" w:cs="Aptos" w:eastAsia="Aptos" w:hAnsi="Aptos"/><w:b w:val="false"/><w:bCs w:val="false"/><w:i w:val="false"/><w:iCs w:val="false"/><w:sz w:val="24"/><w:szCs w:val="24"/></w:rPr><w:t>Applies to: [all personnel who request, approve, or implement changes, including county or vendor IT].</w:t></w:r></w:p><w:p><w:pPr><w:pStyle w:val="ListParagraph"/><w:numPr><w:ilvl w:val="0"/><w:numId w:val="2"/></w:numPr><w:spacing w:after="60"/></w:pPr><w:r><w:rPr><w:rFonts w:ascii="Aptos" w:cs="Aptos" w:eastAsia="Aptos" w:hAnsi="Aptos"/><w:b w:val="false"/><w:bCs w:val="false"/><w:i w:val="false"/><w:iCs w:val="false"/><w:sz w:val="24"/><w:szCs w:val="24"/></w:rPr><w:t>Covers: every production system and device the Agency operates, including telephony, CAD, network, and DNS.</w:t></w:r></w:p><w:p><w:pPr><w:pStyle w:val="ListParagraph"/><w:numPr><w:ilvl w:val="0"/><w:numId w:val="2"/></w:numPr><w:spacing w:after="60"/></w:pPr><w:r><w:rPr><w:rFonts w:ascii="Aptos" w:cs="Aptos" w:eastAsia="Aptos" w:hAnsi="Aptos"/><w:b w:val="false"/><w:bCs w:val="false"/><w:i w:val="false"/><w:iCs w:val="false"/><w:sz w:val="24"/><w:szCs w:val="24"/></w:rPr><w:t>Excludes: [exclusions, if any; if none, write "None."]</w:t></w:r></w:p><w:p><w:pPr><w:pStyle w:val="Heading2"/><w:spacing w:after="100" w:before="220"/></w:pPr><w:r><w:rPr><w:rFonts w:ascii="Aptos" w:cs="Aptos" w:eastAsia="Aptos" w:hAnsi="Aptos"/><w:b/><w:bCs/><w:color w:val="1B3A5C"/><w:sz w:val="26"/><w:szCs w:val="26"/></w:rPr><w:t xml:space="preserve">3. Definitions</w:t></w:r></w:p><w:p><w:pPr><w:spacing w:after="140"/></w:pPr><w:r><w:rPr><w:rFonts w:ascii="Aptos" w:cs="Aptos" w:eastAsia="Aptos" w:hAnsi="Aptos"/><w:i/><w:iCs/><w:color w:val="595959"/><w:sz w:val="24"/><w:szCs w:val="24"/></w:rPr><w:t xml:space="preserve">«Optional. Include only terms this policy uses with a narrower meaning than common usage. Do not define common operational terms (CAD, RMS, ESInet, dispatcher). Delete this section if not needed.»</w:t></w:r></w:p><w:p><w:pPr><w:spacing w:after="120" w:before="0"/></w:pPr><w:r><w:rPr><w:rFonts w:ascii="Aptos" w:cs="Aptos" w:eastAsia="Aptos" w:hAnsi="Aptos"/><w:b w:val="false"/><w:bCs w:val="false"/><w:i w:val="false"/><w:iCs w:val="false"/><w:sz w:val="24"/><w:szCs w:val="24"/></w:rPr><w:t>Change: any addition, modification, or removal that could affect a production system, its configuration, or its security posture.</w:t></w:r></w:p><w:p><w:pPr><w:spacing w:after="120" w:before="0"/></w:pPr><w:r><w:rPr><w:rFonts w:ascii="Aptos" w:cs="Aptos" w:eastAsia="Aptos" w:hAnsi="Aptos"/><w:b w:val="false"/><w:bCs w:val="false"/><w:i w:val="false"/><w:iCs w:val="false"/><w:sz w:val="24"/><w:szCs w:val="24"/></w:rPr><w:t>Standard change: a pre-approved, low-risk change that follows an established procedure.</w:t></w:r></w:p><w:p><w:pPr><w:spacing w:after="120" w:before="0"/></w:pPr><w:r><w:rPr><w:rFonts w:ascii="Aptos" w:cs="Aptos" w:eastAsia="Aptos" w:hAnsi="Aptos"/><w:b w:val="false"/><w:bCs w:val="false"/><w:i w:val="false"/><w:iCs w:val="false"/><w:sz w:val="24"/><w:szCs w:val="24"/></w:rPr><w:t>Major (significant) change: a change with meaningful security, operational, or availability impact, requiring a risk-scaled assessment and approval before implementation.</w:t></w:r></w:p><w:p><w:pPr><w:spacing w:after="120" w:before="0"/></w:pPr><w:r><w:rPr><w:rFonts w:ascii="Aptos" w:cs="Aptos" w:eastAsia="Aptos" w:hAnsi="Aptos"/><w:b w:val="false"/><w:bCs w:val="false"/><w:i w:val="false"/><w:iCs w:val="false"/><w:sz w:val="24"/><w:szCs w:val="24"/></w:rPr><w:t>Emergency change: a change made without delay to restore service or remove an immediate threat, approved through the Emergency Change Procedures and documented after the fact.</w:t></w:r></w:p><w:p><w:pPr><w:spacing w:after="120" w:before="0"/></w:pPr><w:r><w:rPr><w:rFonts w:ascii="Aptos" w:cs="Aptos" w:eastAsia="Aptos" w:hAnsi="Aptos"/><w:b w:val="false"/><w:bCs w:val="false"/><w:i w:val="false"/><w:iCs w:val="false"/><w:sz w:val="24"/><w:szCs w:val="24"/></w:rPr><w:t>Supervised maintenance: maintenance of a sensitive or critical system performed by authorized personnel under defined safeguards (scheduled window, pre-maintenance backup, second-person sign-off).</w:t></w:r></w:p><w:p><w:pPr><w:pStyle w:val="Heading2"/><w:spacing w:after="100" w:before="220"/></w:pPr><w:r><w:rPr><w:rFonts w:ascii="Aptos" w:cs="Aptos" w:eastAsia="Aptos" w:hAnsi="Aptos"/><w:b/><w:bCs/><w:color w:val="1B3A5C"/><w:sz w:val="26"/><w:szCs w:val="26"/></w:rPr><w:t xml:space="preserve">4. Policy Statement</w:t></w:r></w:p><w:p><w:pPr><w:spacing w:after="140"/></w:pPr><w:r><w:rPr><w:rFonts w:ascii="Aptos" w:cs="Aptos" w:eastAsia="Aptos" w:hAnsi="Aptos"/><w:i/><w:iCs/><w:color w:val="595959"/><w:sz w:val="24"/><w:szCs w:val="24"/></w:rPr><w:t xml:space="preserve">«The enforceable core, as numbered statements. Use “The Agency shall…” / “Personnel are responsible for…”. One requirement per statement.»</w:t></w:r></w:p><w:p><w:pPr><w:pStyle w:val="ListParagraph"/><w:numPr><w:ilvl w:val="0"/><w:numId w:val="3"/></w:numPr><w:spacing w:after="60"/></w:pPr><w:r><w:rPr><w:rFonts w:ascii="Aptos" w:cs="Aptos" w:eastAsia="Aptos" w:hAnsi="Aptos"/><w:b w:val="false"/><w:bCs w:val="false"/><w:i w:val="false"/><w:iCs w:val="false"/><w:sz w:val="24"/><w:szCs w:val="24"/></w:rPr><w:t>The Agency shall classify every change to a production system as a standard, major (significant), or emergency change, and route each through the approval path defined for its class.</w:t></w:r></w:p><w:p><w:pPr><w:pStyle w:val="ListParagraph"/><w:numPr><w:ilvl w:val="0"/><w:numId w:val="3"/></w:numPr><w:spacing w:after="60"/></w:pPr><w:r><w:rPr><w:rFonts w:ascii="Aptos" w:cs="Aptos" w:eastAsia="Aptos" w:hAnsi="Aptos"/><w:b w:val="false"/><w:bCs w:val="false"/><w:i w:val="false"/><w:iCs w:val="false"/><w:sz w:val="24"/><w:szCs w:val="24"/></w:rPr><w:t>The Agency shall not implement a change to a production system without the documented approval required for its class, and shall record every change request, approval, and outcome in the Change Request &amp; Approval Log.</w:t></w:r></w:p><w:p><w:pPr><w:pStyle w:val="ListParagraph"/><w:numPr><w:ilvl w:val="0"/><w:numId w:val="3"/></w:numPr><w:spacing w:after="60"/></w:pPr><w:r><w:rPr><w:rFonts w:ascii="Aptos" w:cs="Aptos" w:eastAsia="Aptos" w:hAnsi="Aptos"/><w:b w:val="false"/><w:bCs w:val="false"/><w:i w:val="false"/><w:iCs w:val="false"/><w:sz w:val="24"/><w:szCs w:val="24"/></w:rPr><w:t>Before approving a major change, the Agency shall assess its security impact, operational risk, and side effects against the approved baselines, with sign-off scaled to the risk.</w:t></w:r></w:p><w:p><w:pPr><w:pStyle w:val="ListParagraph"/><w:numPr><w:ilvl w:val="0"/><w:numId w:val="3"/></w:numPr><w:spacing w:after="60"/></w:pPr><w:r><w:rPr><w:rFonts w:ascii="Aptos" w:cs="Aptos" w:eastAsia="Aptos" w:hAnsi="Aptos"/><w:b w:val="false"/><w:bCs w:val="false"/><w:i w:val="false"/><w:iCs w:val="false"/><w:sz w:val="24"/><w:szCs w:val="24"/></w:rPr><w:t>The Agency shall review deviations from standard configurations and approved baselines and record the disposition of each.</w:t></w:r></w:p><w:p><w:pPr><w:pStyle w:val="Heading2"/><w:spacing w:after="100" w:before="220"/></w:pPr><w:r><w:rPr><w:rFonts w:ascii="Aptos" w:cs="Aptos" w:eastAsia="Aptos" w:hAnsi="Aptos"/><w:b/><w:bCs/><w:color w:val="1B3A5C"/><w:sz w:val="26"/><w:szCs w:val="26"/></w:rPr><w:t>5. DNS Administration and Change Governance</w:t></w:r></w:p><w:p><w:pPr><w:spacing w:after="140"/></w:pPr><w:r><w:rPr><w:rFonts w:ascii="Aptos" w:cs="Aptos" w:eastAsia="Aptos" w:hAnsi="Aptos"/><w:i/><w:iCs/><w:color w:val="595959"/><w:sz w:val="24"/><w:szCs w:val="24"/></w:rPr><w:t>«Who may administer DNS, and how DNS changes are approved and logged (assessment 4.C).»</w:t></w:r></w:p><w:p><w:pPr><w:spacing w:after="120" w:before="0"/></w:pPr><w:r><w:rPr><w:rFonts w:ascii="Aptos" w:cs="Aptos" w:eastAsia="Aptos" w:hAnsi="Aptos"/><w:b w:val="false"/><w:bCs w:val="false"/><w:i w:val="false"/><w:iCs w:val="false"/><w:sz w:val="24"/><w:szCs w:val="24"/></w:rPr><w:t>The Agency shall restrict who may manage DNS roles and records, route every DNS change through the approval workflow in this policy, and log the review and sign-off for each record or zone change.</w:t></w:r></w:p><w:p><w:pPr><w:pStyle w:val="Heading2"/><w:spacing w:after="100" w:before="220"/></w:pPr><w:r><w:rPr><w:rFonts w:ascii="Aptos" w:cs="Aptos" w:eastAsia="Aptos" w:hAnsi="Aptos"/><w:b/><w:bCs/><w:color w:val="1B3A5C"/><w:sz w:val="26"/><w:szCs w:val="26"/></w:rPr><w:t>6. Supervised Maintenance</w:t></w:r></w:p><w:p><w:pPr><w:spacing w:after="140"/></w:pPr><w:r><w:rPr><w:rFonts w:ascii="Aptos" w:cs="Aptos" w:eastAsia="Aptos" w:hAnsi="Aptos"/><w:i/><w:iCs/><w:color w:val="595959"/><w:sz w:val="24"/><w:szCs w:val="24"/></w:rPr><w:t>«Maintenance of sensitive or critical systems under defined safeguards (assessment 5C-4).»</w:t></w:r></w:p><w:p><w:pPr><w:spacing w:after="120" w:before="0"/></w:pPr><w:r><w:rPr><w:rFonts w:ascii="Aptos" w:cs="Aptos" w:eastAsia="Aptos" w:hAnsi="Aptos"/><w:b w:val="false"/><w:bCs w:val="false"/><w:i w:val="false"/><w:iCs w:val="false"/><w:sz w:val="24"/><w:szCs w:val="24"/></w:rPr><w:t>The Agency shall perform maintenance on sensitive or critical systems only with authorized personnel, on a scheduled window, with a pre-maintenance backup and a second-person sign-off, protecting data confidentiality and service availability throughout.</w:t></w:r></w:p><w:p><w:pPr><w:pStyle w:val="Heading2"/><w:spacing w:after="100" w:before="220"/></w:pPr><w:r><w:rPr><w:rFonts w:ascii="Aptos" w:cs="Aptos" w:eastAsia="Aptos" w:hAnsi="Aptos"/><w:b/><w:bCs/><w:color w:val="1B3A5C"/><w:sz w:val="26"/><w:szCs w:val="26"/></w:rPr><w:t>7. Security Assessment Gate</w:t></w:r></w:p><w:p><w:pPr><w:spacing w:after="140"/></w:pPr><w:r><w:rPr><w:rFonts w:ascii="Aptos" w:cs="Aptos" w:eastAsia="Aptos" w:hAnsi="Aptos"/><w:i/><w:iCs/><w:color w:val="595959"/><w:sz w:val="24"/><w:szCs w:val="24"/></w:rPr><w:t>«Risk-scaled security assessment, including a cryptographic review, before a major change goes live (assessment 12A-3).»</w:t></w:r></w:p><w:p><w:pPr><w:spacing w:after="120" w:before="0"/></w:pPr><w:r><w:rPr><w:rFonts w:ascii="Aptos" w:cs="Aptos" w:eastAsia="Aptos" w:hAnsi="Aptos"/><w:b w:val="false"/><w:bCs w:val="false"/><w:i w:val="false"/><w:iCs w:val="false"/><w:sz w:val="24"/><w:szCs w:val="24"/></w:rPr><w:t>Before a major deployment or significant change goes live, the Agency shall complete a security assessment scaled to the risk, including a review of cryptographic controls, and obtain sign-off on the assessment before go-live.</w:t></w:r></w:p><w:p><w:pPr><w:pStyle w:val="Heading2"/><w:spacing w:after="100" w:before="220"/></w:pPr><w:r><w:rPr><w:rFonts w:ascii="Aptos" w:cs="Aptos" w:eastAsia="Aptos" w:hAnsi="Aptos"/><w:b/><w:bCs/><w:color w:val="1B3A5C"/><w:sz w:val="26"/><w:szCs w:val="26"/></w:rPr><w:t>8. Roles &amp; Responsibilities</w:t></w:r></w:p><w:p><w:pPr><w:spacing w:after="140"/></w:pPr><w:r><w:rPr><w:rFonts w:ascii="Aptos" w:cs="Aptos" w:eastAsia="Aptos" w:hAnsi="Aptos"/><w:i/><w:iCs/><w:color w:val="595959"/><w:sz w:val="24"/><w:szCs w:val="24"/></w:rPr><w:t xml:space="preserve">«Each role that carries a duty under this policy and what it owns. Roles, not names.»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000"/><w:gridCol w:w="6360"/></w:tblGrid><w:tr><w:trPr><w:tblHeader/></w:trPr><w:tc><w:tcPr><w:tcW w:type="dxa" w:w="3000"/><w:tcBorders><w:top w:val="single" w:color="BFBFBF" w:sz="4"/><w:left w:val="single" w:color="BFBFBF" w:sz="4"/><w:bottom w:val="single" w:color="BFBFBF" w:sz="4"/><w:right w:val="single" w:color="BFBFBF" w:sz="4"/></w:tcBorders><w:shd w:fill="1B3A5C" w:val="clear"/><w:tcMar><w:top w:type="dxa" w:w="80"/><w:left w:type="dxa" w:w="120"/><w:bottom w:type="dxa" w:w="80"/><w:right w:type="dxa" w:w="120"/></w:tcMar></w:tcPr><w:p><w:r><w:rPr><w:rFonts w:ascii="Aptos" w:cs="Aptos" w:eastAsia="Aptos" w:hAnsi="Aptos"/><w:b/><w:bCs/><w:color w:val="FFFFFF"/><w:sz w:val="24"/><w:szCs w:val="24"/></w:rPr><w:t xml:space="preserve">Role</w:t></w:r></w:p></w:tc><w:tc><w:tcPr><w:tcW w:type="dxa" w:w="6360"/><w:tcBorders><w:top w:val="single" w:color="BFBFBF" w:sz="4"/><w:left w:val="single" w:color="BFBFBF" w:sz="4"/><w:bottom w:val="single" w:color="BFBFBF" w:sz="4"/><w:right w:val="single" w:color="BFBFBF" w:sz="4"/></w:tcBorders><w:shd w:fill="1B3A5C" w:val="clear"/><w:tcMar><w:top w:type="dxa" w:w="80"/><w:left w:type="dxa" w:w="120"/><w:bottom w:type="dxa" w:w="80"/><w:right w:type="dxa" w:w="120"/></w:tcMar></w:tcPr><w:p><w:r><w:rPr><w:rFonts w:ascii="Aptos" w:cs="Aptos" w:eastAsia="Aptos" w:hAnsi="Aptos"/><w:b/><w:bCs/><w:color w:val="FFFFFF"/><w:sz w:val="24"/><w:szCs w:val="24"/></w:rPr><w:t xml:space="preserve">Responsibility</w:t></w:r></w:p></w:tc></w:tr><w:tr><w:tc><w:tcPr><w:tcW w:type="dxa" w:w="300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><w:r><w:rPr><w:rFonts w:ascii="Aptos" w:cs="Aptos" w:eastAsia="Aptos" w:hAnsi="Aptos"/><w:b w:val="false"/><w:bCs w:val="false"/><w:i w:val="false"/><w:iCs w:val="false"/><w:sz w:val="24"/><w:szCs w:val="24"/></w:rPr><w:t>[Director / Coordinator]</w:t></w:r></w:p></w:tc><w:tc><w:tcPr><w:tcW w:type="dxa" w:w="636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><w:r><w:rPr><w:rFonts w:ascii="Aptos" w:cs="Aptos" w:eastAsia="Aptos" w:hAnsi="Aptos"/><w:b w:val="false"/><w:bCs w:val="false"/><w:i w:val="false"/><w:iCs w:val="false"/><w:sz w:val="24"/><w:szCs w:val="24"/></w:rPr><w:t>Approves major and emergency changes; owns this policy and the deviation process.</w:t></w:r></w:p></w:tc></w:tr><w:tr><w:tc><w:tcPr><w:tcW w:type="dxa" w:w="300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><w:r><w:rPr><w:rFonts w:ascii="Aptos" w:cs="Aptos" w:eastAsia="Aptos" w:hAnsi="Aptos"/><w:b w:val="false"/><w:bCs w:val="false"/><w:i w:val="false"/><w:iCs w:val="false"/><w:sz w:val="24"/><w:szCs w:val="24"/></w:rPr><w:t>[County IT / Vendor / In-house]</w:t></w:r></w:p></w:tc><w:tc><w:tcPr><w:tcW w:type="dxa" w:w="636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><w:r><w:rPr><w:rFonts w:ascii="Aptos" w:cs="Aptos" w:eastAsia="Aptos" w:hAnsi="Aptos"/><w:b w:val="false"/><w:bCs w:val="false"/><w:i w:val="false"/><w:iCs w:val="false"/><w:sz w:val="24"/><w:szCs w:val="24"/></w:rPr><w:t>Submits change requests, implements approved changes, performs supervised maintenance with a second-person sign-off, and keeps the change records.</w:t></w:r></w:p></w:tc></w:tr><w:tr><w:tc><w:tcPr><w:tcW w:type="dxa" w:w="300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><w:r><w:rPr><w:rFonts w:ascii="Aptos" w:cs="Aptos" w:eastAsia="Aptos" w:hAnsi="Aptos"/><w:b w:val="false"/><w:bCs w:val="false"/><w:i w:val="false"/><w:iCs w:val="false"/><w:sz w:val="24"/><w:szCs w:val="24"/></w:rPr><w:t>[Change Approver / Advisory Role]</w:t></w:r></w:p></w:tc><w:tc><w:tcPr><w:tcW w:type="dxa" w:w="636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><w:r><w:rPr><w:rFonts w:ascii="Aptos" w:cs="Aptos" w:eastAsia="Aptos" w:hAnsi="Aptos"/><w:b w:val="false"/><w:bCs w:val="false"/><w:i w:val="false"/><w:iCs w:val="false"/><w:sz w:val="24"/><w:szCs w:val="24"/></w:rPr><w:t>Reviews and approves changes at the level set for each risk tier and reviews deviations.</w:t></w:r></w:p></w:tc></w:tr><w:tr><w:tc><w:tcPr><w:tcW w:type="dxa" w:w="300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><w:r><w:rPr><w:rFonts w:ascii="Aptos" w:cs="Aptos" w:eastAsia="Aptos" w:hAnsi="Aptos"/><w:b w:val="false"/><w:bCs w:val="false"/><w:i w:val="false"/><w:iCs w:val="false"/><w:sz w:val="24"/><w:szCs w:val="24"/></w:rPr><w:t>[Security Reviewer (role)]</w:t></w:r></w:p></w:tc><w:tc><w:tcPr><w:tcW w:type="dxa" w:w="636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><w:r><w:rPr><w:rFonts w:ascii="Aptos" w:cs="Aptos" w:eastAsia="Aptos" w:hAnsi="Aptos"/><w:b w:val="false"/><w:bCs w:val="false"/><w:i w:val="false"/><w:iCs w:val="false"/><w:sz w:val="24"/><w:szCs w:val="24"/></w:rPr><w:t>Completes the pre-go-live security assessment, including the cryptographic review, for major changes.</w:t></w:r></w:p></w:tc></w:tr><w:tr><w:tc><w:tcPr><w:tcW w:type="dxa" w:w="300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><w:r><w:rPr><w:rFonts w:ascii="Aptos" w:cs="Aptos" w:eastAsia="Aptos" w:hAnsi="Aptos"/><w:b w:val="false"/><w:bCs w:val="false"/><w:i w:val="false"/><w:iCs w:val="false"/><w:sz w:val="24"/><w:szCs w:val="24"/></w:rPr><w:t>[All Personnel (scope)]</w:t></w:r></w:p></w:tc><w:tc><w:tcPr><w:tcW w:type="dxa" w:w="636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><w:r><w:rPr><w:rFonts w:ascii="Aptos" w:cs="Aptos" w:eastAsia="Aptos" w:hAnsi="Aptos"/><w:b w:val="false"/><w:bCs w:val="false"/><w:i w:val="false"/><w:iCs w:val="false"/><w:sz w:val="24"/><w:szCs w:val="24"/></w:rPr><w:t>Follow this policy and make no unauthorized changes to Agency systems.</w:t></w:r></w:p></w:tc></w:tr></w:tbl><w:p><w:pPr><w:pStyle w:val="Heading2"/><w:spacing w:after="100" w:before="220"/></w:pPr><w:r><w:rPr><w:rFonts w:ascii="Aptos" w:cs="Aptos" w:eastAsia="Aptos" w:hAnsi="Aptos"/><w:b/><w:bCs/><w:color w:val="1B3A5C"/><w:sz w:val="26"/><w:szCs w:val="26"/></w:rPr><w:t>9. Enforcement</w:t></w:r></w:p><w:p><w:pPr><w:spacing w:after="140"/></w:pPr><w:r><w:rPr><w:rFonts w:ascii="Aptos" w:cs="Aptos" w:eastAsia="Aptos" w:hAnsi="Aptos"/><w:i/><w:iCs/><w:color w:val="595959"/><w:sz w:val="24"/><w:szCs w:val="24"/></w:rPr><w:t xml:space="preserve">«How compliance is monitored and what happens on violation. Reference the Agency’s corrective process; do not restate it.»</w:t></w:r></w:p><w:p><w:pPr><w:spacing w:after="120" w:before="0"/></w:pPr><w:r><w:rPr><w:rFonts w:ascii="Aptos" w:cs="Aptos" w:eastAsia="Aptos" w:hAnsi="Aptos"/><w:b w:val="false"/><w:bCs w:val="false"/><w:i w:val="false"/><w:iCs w:val="false"/><w:sz w:val="24"/><w:szCs w:val="24"/></w:rPr><w:t>Compliance is monitored through the change records and periodic review. A change made without the required approval is treated as unauthorized, corrected, and reviewed under the Agency's corrective process.</w:t></w:r></w:p><w:p><w:pPr><w:pStyle w:val="Heading2"/><w:spacing w:after="100" w:before="220"/></w:pPr><w:r><w:rPr><w:rFonts w:ascii="Aptos" w:cs="Aptos" w:eastAsia="Aptos" w:hAnsi="Aptos"/><w:b/><w:bCs/><w:color w:val="1B3A5C"/><w:sz w:val="26"/><w:szCs w:val="26"/></w:rPr><w:t>10. Exceptions</w:t></w:r></w:p><w:p><w:pPr><w:spacing w:after="140"/></w:pPr><w:r><w:rPr><w:rFonts w:ascii="Aptos" w:cs="Aptos" w:eastAsia="Aptos" w:hAnsi="Aptos"/><w:i/><w:iCs/><w:color w:val="595959"/><w:sz w:val="24"/><w:szCs w:val="24"/></w:rPr><w:t xml:space="preserve">«Who may grant an exception, how it is requested and recorded, and how long it lasts before review.»</w:t></w:r></w:p><w:p><w:pPr><w:spacing w:after="120" w:before="0"/></w:pPr><w:r><w:rPr><w:rFonts w:ascii="Aptos" w:cs="Aptos" w:eastAsia="Aptos" w:hAnsi="Aptos"/><w:b w:val="false"/><w:bCs w:val="false"/><w:i w:val="false"/><w:iCs w:val="false"/><w:sz w:val="24"/><w:szCs w:val="24"/></w:rPr><w:t>An exception to this policy requires written approval from the [Director / Coordinator], recorded with a reason and an expiry. An emergency change is not an exception: it is a defined change class handled through the Emergency Change Procedures and documented after the fact.</w:t></w:r></w:p><w:p><w:pPr><w:pStyle w:val="Heading2"/><w:spacing w:after="100" w:before="220"/></w:pPr><w:r><w:rPr><w:rFonts w:ascii="Aptos" w:cs="Aptos" w:eastAsia="Aptos" w:hAnsi="Aptos"/><w:b/><w:bCs/><w:color w:val="1B3A5C"/><w:sz w:val="26"/><w:szCs w:val="26"/></w:rPr><w:t>11. Review Schedule</w:t></w:r></w:p><w:p><w:pPr><w:spacing w:after="140"/></w:pPr><w:r><w:rPr><w:rFonts w:ascii="Aptos" w:cs="Aptos" w:eastAsia="Aptos" w:hAnsi="Aptos"/><w:i/><w:iCs/><w:color w:val="595959"/><w:sz w:val="24"/><w:szCs w:val="24"/></w:rPr><w:t xml:space="preserve">«Review cadence and trigger events (annual at minimum; also on significant change). Name the owning role.»</w:t></w:r></w:p><w:p><w:pPr><w:spacing w:after="120" w:before="0"/></w:pPr><w:r><w:rPr><w:rFonts w:ascii="Aptos" w:cs="Aptos" w:eastAsia="Aptos" w:hAnsi="Aptos"/><w:b w:val="false"/><w:bCs w:val="false"/><w:i w:val="false"/><w:iCs w:val="false"/><w:sz w:val="24"/><w:szCs w:val="24"/></w:rPr><w:t>This policy is reviewed at least [Weekly / Monthly / Quarterly / Annually] and after [significant change to the Agency's systems or change process], by the [Owner Role].</w:t></w:r></w:p><w:p><w:pPr><w:pStyle w:val="Heading2"/><w:spacing w:after="100" w:before="220"/></w:pPr><w:r><w:rPr><w:rFonts w:ascii="Aptos" w:cs="Aptos" w:eastAsia="Aptos" w:hAnsi="Aptos"/><w:b/><w:bCs/><w:color w:val="1B3A5C"/><w:sz w:val="26"/><w:szCs w:val="26"/></w:rPr><w:t xml:space="preserve">Profile Scaling Notes</w:t></w:r></w:p><w:p><w:pPr><w:spacing w:after="140"/></w:pPr><w:r><w:rPr><w:rFonts w:ascii="Aptos" w:cs="Aptos" w:eastAsia="Aptos" w:hAnsi="Aptos"/><w:i/><w:iCs/><w:color w:val="595959"/><w:sz w:val="24"/><w:szCs w:val="24"/></w:rPr><w:t xml:space="preserve">One short paragraph per profile: what minimum-viable looks like for that reader and where to scale up. Keep all three if this ships as a template; delete the profiles that do not apply once adopted.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200"/><w:gridCol w:w="6160"/></w:tblGrid><w:tr><w:trPr><w:tblHeader/></w:trPr><w:tc><w:tcPr><w:tcW w:type="dxa" w:w="3200"/><w:tcBorders><w:top w:val="single" w:color="BFBFBF" w:sz="4"/><w:left w:val="single" w:color="BFBFBF" w:sz="4"/><w:bottom w:val="single" w:color="BFBFBF" w:sz="4"/><w:right w:val="single" w:color="BFBFBF" w:sz="4"/></w:tcBorders><w:shd w:fill="1B3A5C" w:val="clear"/><w:tcMar><w:top w:type="dxa" w:w="80"/><w:left w:type="dxa" w:w="120"/><w:bottom w:type="dxa" w:w="80"/><w:right w:type="dxa" w:w="120"/></w:tcMar></w:tcPr><w:p><w:r><w:rPr><w:rFonts w:ascii="Aptos" w:cs="Aptos" w:eastAsia="Aptos" w:hAnsi="Aptos"/><w:b/><w:bCs/><w:color w:val="FFFFFF"/><w:sz w:val="24"/><w:szCs w:val="24"/></w:rPr><w:t xml:space="preserve">PSAP Profile</w:t></w:r></w:p></w:tc><w:tc><w:tcPr><w:tcW w:type="dxa" w:w="6160"/><w:tcBorders><w:top w:val="single" w:color="BFBFBF" w:sz="4"/><w:left w:val="single" w:color="BFBFBF" w:sz="4"/><w:bottom w:val="single" w:color="BFBFBF" w:sz="4"/><w:right w:val="single" w:color="BFBFBF" w:sz="4"/></w:tcBorders><w:shd w:fill="1B3A5C" w:val="clear"/><w:tcMar><w:top w:type="dxa" w:w="80"/><w:left w:type="dxa" w:w="120"/><w:bottom w:type="dxa" w:w="80"/><w:right w:type="dxa" w:w="120"/></w:tcMar></w:tcPr><w:p><w:r><w:rPr><w:rFonts w:ascii="Aptos" w:cs="Aptos" w:eastAsia="Aptos" w:hAnsi="Aptos"/><w:b/><w:bCs/><w:color w:val="FFFFFF"/><w:sz w:val="24"/><w:szCs w:val="24"/></w:rPr><w:t xml:space="preserve">Minimum-viable implementation</w:t></w:r></w:p></w:tc></w:tr><w:tr><w:tc><w:tcPr><w:tcW w:type="dxa" w:w="320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><w:r><w:rPr><w:rFonts w:ascii="Aptos" w:cs="Aptos" w:eastAsia="Aptos" w:hAnsi="Aptos"/><w:b w:val="false"/><w:bCs w:val="false"/><w:i w:val="false"/><w:iCs w:val="false"/><w:sz w:val="24"/><w:szCs w:val="24"/></w:rPr><w:t xml:space="preserve">Small (1–5 dispatchers, no in-house IT)</w:t></w:r></w:p></w:tc><w:tc><w:tcPr><w:tcW w:type="dxa" w:w="616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><w:r><w:rPr><w:rFonts w:ascii="Aptos" w:cs="Aptos" w:eastAsia="Aptos" w:hAnsi="Aptos"/><w:b w:val="false"/><w:bCs w:val="false"/><w:i w:val="false"/><w:iCs w:val="false"/><w:sz w:val="24"/><w:szCs w:val="24"/></w:rPr><w:t>One person, usually the director, approves changes and keeps a simple change log. Standard changes follow a short checklist; major or emergency changes get a second set of eyes from county or vendor IT and a pre-change backup.</w:t></w:r></w:p></w:tc></w:tr><w:tr><w:tc><w:tcPr><w:tcW w:type="dxa" w:w="320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><w:r><w:rPr><w:rFonts w:ascii="Aptos" w:cs="Aptos" w:eastAsia="Aptos" w:hAnsi="Aptos"/><w:b w:val="false"/><w:bCs w:val="false"/><w:i w:val="false"/><w:iCs w:val="false"/><w:sz w:val="24"/><w:szCs w:val="24"/></w:rPr><w:t xml:space="preserve">Medium (6–25, shared county IT)</w:t></w:r></w:p></w:tc><w:tc><w:tcPr><w:tcW w:type="dxa" w:w="616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><w:r><w:rPr><w:rFonts w:ascii="Aptos" w:cs="Aptos" w:eastAsia="Aptos" w:hAnsi="Aptos"/><w:b w:val="false"/><w:bCs w:val="false"/><w:i w:val="false"/><w:iCs w:val="false"/><w:sz w:val="24"/><w:szCs w:val="24"/></w:rPr><w:t>A change approver or small advisory group reviews changes on a set cadence, with the security coordinator running the assessment gate for major changes. Records live in a shared change log.</w:t></w:r></w:p></w:tc></w:tr><w:tr><w:tc><w:tcPr><w:tcW w:type="dxa" w:w="320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><w:r><w:rPr><w:rFonts w:ascii="Aptos" w:cs="Aptos" w:eastAsia="Aptos" w:hAnsi="Aptos"/><w:b w:val="false"/><w:bCs w:val="false"/><w:i w:val="false"/><w:iCs w:val="false"/><w:sz w:val="24"/><w:szCs w:val="24"/></w:rPr><w:t xml:space="preserve">Large (25+, dedicated IT/security)</w:t></w:r></w:p></w:tc><w:tc><w:tcPr><w:tcW w:type="dxa" w:w="616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><w:r><w:rPr><w:rFonts w:ascii="Aptos" w:cs="Aptos" w:eastAsia="Aptos" w:hAnsi="Aptos"/><w:b w:val="false"/><w:bCs w:val="false"/><w:i w:val="false"/><w:iCs w:val="false"/><w:sz w:val="24"/><w:szCs w:val="24"/></w:rPr><w:t>A change advisory board governs changes across both centers, with formal risk scoring, a security assessment gate for major deployments, and change records in an ITSM system.</w:t></w:r></w:p></w:tc></w:tr></w:tbl><w:p><w:pPr><w:spacing w:after="60"/></w:pP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360"/></w:tblGrid><w:tr><w:tc><w:tcPr><w:tcW w:type="dxa" w:w="9360"/><w:tcBorders><w:top w:val="single" w:color="BFBFBF" w:sz="4"/><w:left w:val="single" w:color="BFBFBF" w:sz="4"/><w:bottom w:val="single" w:color="BFBFBF" w:sz="4"/><w:right w:val="single" w:color="BFBFBF" w:sz="4"/></w:tcBorders><w:shd w:fill="EEF2F7" w:val="clear"/><w:tcMar><w:top w:type="dxa" w:w="80"/><w:left w:type="dxa" w:w="120"/><w:bottom w:type="dxa" w:w="80"/><w:right w:type="dxa" w:w="120"/></w:tcMar></w:tcPr><w:p><w:pPr><w:spacing w:after="60"/></w:pPr><w:r><w:rPr><w:rFonts w:ascii="Aptos" w:cs="Aptos" w:eastAsia="Aptos" w:hAnsi="Aptos"/><w:b/><w:bCs/><w:i w:val="false"/><w:iCs w:val="false"/><w:color w:val="1B3A5C"/><w:sz w:val="24"/><w:szCs w:val="24"/></w:rPr><w:t xml:space="preserve">Source Authority</w:t></w:r></w:p><w:p><w:pPr><w:spacing w:after="140"/></w:pPr><w:r><w:rPr><w:rFonts w:ascii="Aptos" w:cs="Aptos" w:eastAsia="Aptos" w:hAnsi="Aptos"/><w:i/><w:iCs/><w:color w:val="595959"/><w:sz w:val="24"/><w:szCs w:val="24"/></w:rPr><w:t xml:space="preserve">List only the authorities that map to content in this artifact. Group by authority; order sections and control IDs numerically. No padding. Replace the lines below with the citations that actually apply.</w:t></w:r></w:p><w:p><w:pPr><w:spacing w:after="40" w:before="0"/></w:pPr><w:r><w:rPr><w:rFonts w:ascii="Aptos" w:cs="Aptos" w:eastAsia="Aptos" w:hAnsi="Aptos"/><w:b w:val="false"/><w:bCs w:val="false"/><w:i w:val="false"/><w:iCs w:val="false"/><w:sz w:val="24"/><w:szCs w:val="24"/></w:rPr><w:t>NENA-STA-040.2-2024: §4.4, §5.2, §6.4</w:t></w:r></w:p><w:p><w:pPr><w:spacing w:after="40" w:before="0"/></w:pPr><w:r><w:rPr><w:rFonts w:ascii="Aptos" w:cs="Aptos" w:eastAsia="Aptos" w:hAnsi="Aptos"/><w:b w:val="false"/><w:bCs w:val="false"/><w:i w:val="false"/><w:iCs w:val="false"/><w:sz w:val="24"/><w:szCs w:val="24"/></w:rPr><w:t>NIST SP 800-53 Rev. 5: CA-2, CM-3, CM-4, CM-5, CM-9, MA-2</w:t></w:r></w:p></w:tc></w:tr></w:tbl><w:p><w:pPr><w:pStyle w:val="Heading2"/><w:spacing w:after="100" w:before="220"/></w:pPr><w:r><w:rPr><w:rFonts w:ascii="Aptos" w:cs="Aptos" w:eastAsia="Aptos" w:hAnsi="Aptos"/><w:b/><w:bCs/><w:color w:val="1B3A5C"/><w:sz w:val="26"/><w:szCs w:val="26"/></w:rPr><w:t xml:space="preserve">Approval Signatures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000"/><w:gridCol w:w="2360"/><w:gridCol w:w="2600"/><w:gridCol w:w="1400"/></w:tblGrid><w:tr><w:trPr><w:tblHeader/></w:trPr><w:tc><w:tcPr><w:tcW w:type="dxa" w:w="3000"/><w:tcBorders><w:top w:val="single" w:color="BFBFBF" w:sz="4"/><w:left w:val="single" w:color="BFBFBF" w:sz="4"/><w:bottom w:val="single" w:color="BFBFBF" w:sz="4"/><w:right w:val="single" w:color="BFBFBF" w:sz="4"/></w:tcBorders><w:shd w:fill="1B3A5C" w:val="clear"/><w:tcMar><w:top w:type="dxa" w:w="80"/><w:left w:type="dxa" w:w="120"/><w:bottom w:type="dxa" w:w="80"/><w:right w:type="dxa" w:w="120"/></w:tcMar></w:tcPr><w:p><w:r><w:rPr><w:rFonts w:ascii="Aptos" w:cs="Aptos" w:eastAsia="Aptos" w:hAnsi="Aptos"/><w:b/><w:bCs/><w:color w:val="FFFFFF"/><w:sz w:val="24"/><w:szCs w:val="24"/></w:rPr><w:t xml:space="preserve">Role</w:t></w:r></w:p></w:tc><w:tc><w:tcPr><w:tcW w:type="dxa" w:w="2360"/><w:tcBorders><w:top w:val="single" w:color="BFBFBF" w:sz="4"/><w:left w:val="single" w:color="BFBFBF" w:sz="4"/><w:bottom w:val="single" w:color="BFBFBF" w:sz="4"/><w:right w:val="single" w:color="BFBFBF" w:sz="4"/></w:tcBorders><w:shd w:fill="1B3A5C" w:val="clear"/><w:tcMar><w:top w:type="dxa" w:w="80"/><w:left w:type="dxa" w:w="120"/><w:bottom w:type="dxa" w:w="80"/><w:right w:type="dxa" w:w="120"/></w:tcMar></w:tcPr><w:p><w:r><w:rPr><w:rFonts w:ascii="Aptos" w:cs="Aptos" w:eastAsia="Aptos" w:hAnsi="Aptos"/><w:b/><w:bCs/><w:color w:val="FFFFFF"/><w:sz w:val="24"/><w:szCs w:val="24"/></w:rPr><w:t xml:space="preserve">Name</w:t></w:r></w:p></w:tc><w:tc><w:tcPr><w:tcW w:type="dxa" w:w="2600"/><w:tcBorders><w:top w:val="single" w:color="BFBFBF" w:sz="4"/><w:left w:val="single" w:color="BFBFBF" w:sz="4"/><w:bottom w:val="single" w:color="BFBFBF" w:sz="4"/><w:right w:val="single" w:color="BFBFBF" w:sz="4"/></w:tcBorders><w:shd w:fill="1B3A5C" w:val="clear"/><w:tcMar><w:top w:type="dxa" w:w="80"/><w:left w:type="dxa" w:w="120"/><w:bottom w:type="dxa" w:w="80"/><w:right w:type="dxa" w:w="120"/></w:tcMar></w:tcPr><w:p><w:r><w:rPr><w:rFonts w:ascii="Aptos" w:cs="Aptos" w:eastAsia="Aptos" w:hAnsi="Aptos"/><w:b/><w:bCs/><w:color w:val="FFFFFF"/><w:sz w:val="24"/><w:szCs w:val="24"/></w:rPr><w:t xml:space="preserve">Signature</w:t></w:r></w:p></w:tc><w:tc><w:tcPr><w:tcW w:type="dxa" w:w="1400"/><w:tcBorders><w:top w:val="single" w:color="BFBFBF" w:sz="4"/><w:left w:val="single" w:color="BFBFBF" w:sz="4"/><w:bottom w:val="single" w:color="BFBFBF" w:sz="4"/><w:right w:val="single" w:color="BFBFBF" w:sz="4"/></w:tcBorders><w:shd w:fill="1B3A5C" w:val="clear"/><w:tcMar><w:top w:type="dxa" w:w="80"/><w:left w:type="dxa" w:w="120"/><w:bottom w:type="dxa" w:w="80"/><w:right w:type="dxa" w:w="120"/></w:tcMar></w:tcPr><w:p><w:r><w:rPr><w:rFonts w:ascii="Aptos" w:cs="Aptos" w:eastAsia="Aptos" w:hAnsi="Aptos"/><w:b/><w:bCs/><w:color w:val="FFFFFF"/><w:sz w:val="24"/><w:szCs w:val="24"/></w:rPr><w:t xml:space="preserve">Date</w:t></w:r></w:p></w:tc></w:tr><w:tr><w:tc><w:tcPr><w:tcW w:type="dxa" w:w="300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><w:r><w:rPr><w:rFonts w:ascii="Aptos" w:cs="Aptos" w:eastAsia="Aptos" w:hAnsi="Aptos"/><w:b w:val="false"/><w:bCs w:val="false"/><w:i w:val="false"/><w:iCs w:val="false"/><w:sz w:val="24"/><w:szCs w:val="24"/></w:rPr><w:t xml:space="preserve">[Approving Official & Title]</w:t></w:r></w:p></w:tc><w:tc><w:tcPr><w:tcW w:type="dxa" w:w="236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/></w:tc><w:tc><w:tcPr><w:tcW w:type="dxa" w:w="260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/></w:tc><w:tc><w:tcPr><w:tcW w:type="dxa" w:w="140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/></w:tc></w:tr><w:tr><w:tc><w:tcPr><w:tcW w:type="dxa" w:w="300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><w:r><w:rPr><w:rFonts w:ascii="Aptos" w:cs="Aptos" w:eastAsia="Aptos" w:hAnsi="Aptos"/><w:b w:val="false"/><w:bCs w:val="false"/><w:i w:val="false"/><w:iCs w:val="false"/><w:sz w:val="24"/><w:szCs w:val="24"/></w:rPr><w:t xml:space="preserve">[Owner Role 2]</w:t></w:r></w:p></w:tc><w:tc><w:tcPr><w:tcW w:type="dxa" w:w="236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/></w:tc><w:tc><w:tcPr><w:tcW w:type="dxa" w:w="260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/></w:tc><w:tc><w:tcPr><w:tcW w:type="dxa" w:w="140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/></w:tc></w:tr></w:tbl><w:p><w:pPr><w:pStyle w:val="Heading2"/><w:spacing w:after="100" w:before="220"/></w:pPr><w:r><w:rPr><w:rFonts w:ascii="Aptos" w:cs="Aptos" w:eastAsia="Aptos" w:hAnsi="Aptos"/><w:b/><w:bCs/><w:color w:val="1B3A5C"/><w:sz w:val="26"/><w:szCs w:val="26"/></w:rPr><w:t xml:space="preserve">Revision History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300"/><w:gridCol w:w="1600"/><w:gridCol w:w="2200"/><w:gridCol w:w="4260"/></w:tblGrid><w:tr><w:trPr><w:tblHeader/></w:trPr><w:tc><w:tcPr><w:tcW w:type="dxa" w:w="1300"/><w:tcBorders><w:top w:val="single" w:color="BFBFBF" w:sz="4"/><w:left w:val="single" w:color="BFBFBF" w:sz="4"/><w:bottom w:val="single" w:color="BFBFBF" w:sz="4"/><w:right w:val="single" w:color="BFBFBF" w:sz="4"/></w:tcBorders><w:shd w:fill="1B3A5C" w:val="clear"/><w:tcMar><w:top w:type="dxa" w:w="80"/><w:left w:type="dxa" w:w="120"/><w:bottom w:type="dxa" w:w="80"/><w:right w:type="dxa" w:w="120"/></w:tcMar></w:tcPr><w:p><w:r><w:rPr><w:rFonts w:ascii="Aptos" w:cs="Aptos" w:eastAsia="Aptos" w:hAnsi="Aptos"/><w:b/><w:bCs/><w:color w:val="FFFFFF"/><w:sz w:val="24"/><w:szCs w:val="24"/></w:rPr><w:t xml:space="preserve">Version</w:t></w:r></w:p></w:tc><w:tc><w:tcPr><w:tcW w:type="dxa" w:w="1600"/><w:tcBorders><w:top w:val="single" w:color="BFBFBF" w:sz="4"/><w:left w:val="single" w:color="BFBFBF" w:sz="4"/><w:bottom w:val="single" w:color="BFBFBF" w:sz="4"/><w:right w:val="single" w:color="BFBFBF" w:sz="4"/></w:tcBorders><w:shd w:fill="1B3A5C" w:val="clear"/><w:tcMar><w:top w:type="dxa" w:w="80"/><w:left w:type="dxa" w:w="120"/><w:bottom w:type="dxa" w:w="80"/><w:right w:type="dxa" w:w="120"/></w:tcMar></w:tcPr><w:p><w:r><w:rPr><w:rFonts w:ascii="Aptos" w:cs="Aptos" w:eastAsia="Aptos" w:hAnsi="Aptos"/><w:b/><w:bCs/><w:color w:val="FFFFFF"/><w:sz w:val="24"/><w:szCs w:val="24"/></w:rPr><w:t xml:space="preserve">Date</w:t></w:r></w:p></w:tc><w:tc><w:tcPr><w:tcW w:type="dxa" w:w="2200"/><w:tcBorders><w:top w:val="single" w:color="BFBFBF" w:sz="4"/><w:left w:val="single" w:color="BFBFBF" w:sz="4"/><w:bottom w:val="single" w:color="BFBFBF" w:sz="4"/><w:right w:val="single" w:color="BFBFBF" w:sz="4"/></w:tcBorders><w:shd w:fill="1B3A5C" w:val="clear"/><w:tcMar><w:top w:type="dxa" w:w="80"/><w:left w:type="dxa" w:w="120"/><w:bottom w:type="dxa" w:w="80"/><w:right w:type="dxa" w:w="120"/></w:tcMar></w:tcPr><w:p><w:r><w:rPr><w:rFonts w:ascii="Aptos" w:cs="Aptos" w:eastAsia="Aptos" w:hAnsi="Aptos"/><w:b/><w:bCs/><w:color w:val="FFFFFF"/><w:sz w:val="24"/><w:szCs w:val="24"/></w:rPr><w:t xml:space="preserve">Author</w:t></w:r></w:p></w:tc><w:tc><w:tcPr><w:tcW w:type="dxa" w:w="4260"/><w:tcBorders><w:top w:val="single" w:color="BFBFBF" w:sz="4"/><w:left w:val="single" w:color="BFBFBF" w:sz="4"/><w:bottom w:val="single" w:color="BFBFBF" w:sz="4"/><w:right w:val="single" w:color="BFBFBF" w:sz="4"/></w:tcBorders><w:shd w:fill="1B3A5C" w:val="clear"/><w:tcMar><w:top w:type="dxa" w:w="80"/><w:left w:type="dxa" w:w="120"/><w:bottom w:type="dxa" w:w="80"/><w:right w:type="dxa" w:w="120"/></w:tcMar></w:tcPr><w:p><w:r><w:rPr><w:rFonts w:ascii="Aptos" w:cs="Aptos" w:eastAsia="Aptos" w:hAnsi="Aptos"/><w:b/><w:bCs/><w:color w:val="FFFFFF"/><w:sz w:val="24"/><w:szCs w:val="24"/></w:rPr><w:t xml:space="preserve">Summary of Change</w:t></w:r></w:p></w:tc></w:tr><w:tr><w:tc><w:tcPr><w:tcW w:type="dxa" w:w="130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><w:r><w:rPr><w:rFonts w:ascii="Aptos" w:cs="Aptos" w:eastAsia="Aptos" w:hAnsi="Aptos"/><w:b w:val="false"/><w:bCs w:val="false"/><w:i w:val="false"/><w:iCs w:val="false"/><w:sz w:val="24"/><w:szCs w:val="24"/></w:rPr><w:t xml:space="preserve">[Version]</w:t></w:r></w:p></w:tc><w:tc><w:tcPr><w:tcW w:type="dxa" w:w="160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><w:r><w:rPr><w:rFonts w:ascii="Aptos" w:cs="Aptos" w:eastAsia="Aptos" w:hAnsi="Aptos"/><w:b w:val="false"/><w:bCs w:val="false"/><w:i w:val="false"/><w:iCs w:val="false"/><w:sz w:val="24"/><w:szCs w:val="24"/></w:rPr><w:t xml:space="preserve">[Effective Date]</w:t></w:r></w:p></w:tc><w:tc><w:tcPr><w:tcW w:type="dxa" w:w="220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><w:r><w:rPr><w:rFonts w:ascii="Aptos" w:cs="Aptos" w:eastAsia="Aptos" w:hAnsi="Aptos"/><w:b w:val="false"/><w:bCs w:val="false"/><w:i w:val="false"/><w:iCs w:val="false"/><w:sz w:val="24"/><w:szCs w:val="24"/></w:rPr><w:t xml:space="preserve">[Reviewer Role]</w:t></w:r></w:p></w:tc><w:tc><w:tcPr><w:tcW w:type="dxa" w:w="4260"/><w:tcBorders><w:top w:val="single" w:color="BFBFBF" w:sz="4"/><w:left w:val="single" w:color="BFBFBF" w:sz="4"/><w:bottom w:val="single" w:color="BFBFBF" w:sz="4"/><w:right w:val="single" w:color="BFBFBF" w:sz="4"/></w:tcBorders><w:tcMar><w:top w:type="dxa" w:w="80"/><w:left w:type="dxa" w:w="120"/><w:bottom w:type="dxa" w:w="80"/><w:right w:type="dxa" w:w="120"/></w:tcMar></w:tcPr><w:p><w:r><w:rPr><w:rFonts w:ascii="Aptos" w:cs="Aptos" w:eastAsia="Aptos" w:hAnsi="Aptos"/><w:b w:val="false"/><w:bCs w:val="false"/><w:i w:val="false"/><w:iCs w:val="false"/><w:sz w:val="24"/><w:szCs w:val="24"/></w:rPr><w:t xml:space="preserve">[Initial Revision Note]</w:t></w:r></w:p></w:tc></w:tr></w:tbl><w:p><w:pPr><w:spacing w:after="60"/></w:pP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360"/></w:tblGrid><w:tr><w:tc><w:tcPr><w:tcW w:type="dxa" w:w="9360"/><w:tcBorders><w:top w:val="single" w:color="BFBFBF" w:sz="4"/><w:left w:val="single" w:color="BFBFBF" w:sz="4"/><w:bottom w:val="single" w:color="BFBFBF" w:sz="4"/><w:right w:val="single" w:color="BFBFBF" w:sz="4"/></w:tcBorders><w:shd w:fill="F4F1E8" w:val="clear"/><w:tcMar><w:top w:type="dxa" w:w="80"/><w:left w:type="dxa" w:w="120"/><w:bottom w:type="dxa" w:w="80"/><w:right w:type="dxa" w:w="120"/></w:tcMar></w:tcPr><w:p><w:pPr><w:spacing w:after="60"/></w:pPr><w:r><w:rPr><w:rFonts w:ascii="Aptos" w:cs="Aptos" w:eastAsia="Aptos" w:hAnsi="Aptos"/><w:b/><w:bCs/><w:i w:val="false"/><w:iCs w:val="false"/><w:color w:val="1B3A5C"/><w:sz w:val="24"/><w:szCs w:val="24"/></w:rPr><w:t xml:space="preserve">Drafter’s note </w:t></w:r><w:r><w:rPr><w:rFonts w:ascii="Aptos" w:cs="Aptos" w:eastAsia="Aptos" w:hAnsi="Aptos"/><w:b w:val="false"/><w:bCs w:val="false"/><w:i/><w:iCs/><w:color w:val="595959"/><w:sz w:val="24"/><w:szCs w:val="24"/></w:rPr><w:t xml:space="preserve">(internal, delete before publishing)</w:t></w:r></w:p><w:p><w:pPr><w:spacing w:after="140"/></w:pPr><w:r><w:rPr><w:rFonts w:ascii="Aptos" w:cs="Aptos" w:eastAsia="Aptos" w:hAnsi="Aptos"/><w:i/><w:iCs/><w:color w:val="595959"/><w:sz w:val="24"/><w:szCs w:val="24"/></w:rPr><w:t>Confirm before finalizing: (1) the [Owner Role 3] and the change-approver model (single approver for a small agency, a board for a large one); (2) the risk tiers and sign-off levels for standard, major, and emergency changes. No CJIS overlay: CJIS-regulated systems are maintained by the State via IDACS, outside PSAP scope, so this policy does not govern their change management. Cross-referenced artifacts use Tracker names: Change Request &amp; Approval Log, Emergency Change Procedures, System Configuration Baselines, DNS Security Configuration Record.</w:t></w:r></w:p></w:tc></w:tr></w:tbl><w:sectPr><w:headerReference w:type="default" r:id="rId7"/><w:footerReference w:type="default" r:id="rId8"/><w:pgSz w:w="12240" w:h="15840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