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60"/></w:pPr><w:r><w:rPr><w:rFonts w:ascii="Aptos" w:cs="Aptos" w:eastAsia="Aptos" w:hAnsi="Aptos"/><w:b/><w:bCs/><w:color w:val="1B3A5C"/><w:sz w:val="40"/><w:szCs w:val="40"/></w:rPr><w:t>Physical Security Hardening Standard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EEF2F7" w:val="clear"/><w:tcMar><w:top w:type="dxa" w:w="80"/><w:left w:type="dxa" w:w="120"/><w:bottom w:type="dxa" w:w="80"/><w:right w:type="dxa" w:w="120"/></w:tcMar></w:tcPr><w:p><w:pPr><w:spacing w:after="60"/></w:pPr><w:r><w:rPr><w:rFonts w:ascii="Aptos" w:cs="Aptos" w:eastAsia="Aptos" w:hAnsi="Aptos"/><w:b/><w:bCs/><w:i w:val="false"/><w:iCs w:val="false"/><w:sz w:val="24"/><w:szCs w:val="24"/></w:rPr><w:t xml:space="preserve">Authority: </w:t></w:r><w:r><w:rPr><w:rFonts w:ascii="Aptos" w:cs="Aptos" w:eastAsia="Aptos" w:hAnsi="Aptos"/><w:b w:val="false"/><w:bCs w:val="false"/><w:i w:val="false"/><w:iCs w:val="false"/><w:sz w:val="24"/><w:szCs w:val="24"/></w:rPr><w:t xml:space="preserve">Adopted by </w:t></w:r><w:r><w:rPr><w:rFonts w:ascii="Aptos" w:cs="Aptos" w:eastAsia="Aptos" w:hAnsi="Aptos"/><w:b/><w:bCs/><w:i w:val="false"/><w:iCs w:val="false"/><w:sz w:val="24"/><w:szCs w:val="24"/></w:rPr><w:t xml:space="preserve">[Agency Name]</w:t></w:r><w:r><w:rPr><w:rFonts w:ascii="Aptos" w:cs="Aptos" w:eastAsia="Aptos" w:hAnsi="Aptos"/><w:b w:val="false"/><w:bCs w:val="false"/><w:i w:val="false"/><w:iCs w:val="false"/><w:sz w:val="24"/><w:szCs w:val="24"/></w:rPr><w:t xml:space="preserve"> under the authority of </w:t></w:r><w:r><w:rPr><w:rFonts w:ascii="Aptos" w:cs="Aptos" w:eastAsia="Aptos" w:hAnsi="Aptos"/><w:b/><w:bCs/><w:i w:val="false"/><w:iCs w:val="false"/><w:sz w:val="24"/><w:szCs w:val="24"/></w:rPr><w:t xml:space="preserve">[Signing Official & Title]</w:t></w:r><w:r><w:rPr><w:rFonts w:ascii="Aptos" w:cs="Aptos" w:eastAsia="Aptos" w:hAnsi="Aptos"/><w:b w:val="false"/><w:bCs w:val="false"/><w:i w:val="false"/><w:iCs w:val="false"/><w:sz w:val="24"/><w:szCs w:val="24"/></w:rPr><w:t xml:space="preserve">.</w:t></w:r></w:p><w:p><w:pPr><w:spacing w:after="60"/></w:pPr><w:r><w:rPr><w:rFonts w:ascii="Aptos" w:cs="Aptos" w:eastAsia="Aptos" w:hAnsi="Aptos"/><w:b/><w:bCs/><w:i w:val="false"/><w:iCs w:val="false"/><w:sz w:val="24"/><w:szCs w:val="24"/></w:rPr><w:t xml:space="preserve">Version: </w:t></w:r><w:r><w:rPr><w:rFonts w:ascii="Aptos" w:cs="Aptos" w:eastAsia="Aptos" w:hAnsi="Aptos"/><w:b w:val="false"/><w:bCs w:val="false"/><w:i w:val="false"/><w:iCs w:val="false"/><w:sz w:val="24"/><w:szCs w:val="24"/></w:rPr><w:t xml:space="preserve">[Version]    </w:t></w:r><w:r><w:rPr><w:rFonts w:ascii="Aptos" w:cs="Aptos" w:eastAsia="Aptos" w:hAnsi="Aptos"/><w:b/><w:bCs/><w:i w:val="false"/><w:iCs w:val="false"/><w:sz w:val="24"/><w:szCs w:val="24"/></w:rPr><w:t xml:space="preserve">Effective Date: </w:t></w:r><w:r><w:rPr><w:rFonts w:ascii="Aptos" w:cs="Aptos" w:eastAsia="Aptos" w:hAnsi="Aptos"/><w:b w:val="false"/><w:bCs w:val="false"/><w:i w:val="false"/><w:iCs w:val="false"/><w:sz w:val="24"/><w:szCs w:val="24"/></w:rPr><w:t xml:space="preserve">[Effective Date]    </w:t></w:r><w:r><w:rPr><w:rFonts w:ascii="Aptos" w:cs="Aptos" w:eastAsia="Aptos" w:hAnsi="Aptos"/><w:b/><w:bCs/><w:i w:val="false"/><w:iCs w:val="false"/><w:sz w:val="24"/><w:szCs w:val="24"/></w:rPr><w:t xml:space="preserve">Next Review: </w:t></w:r><w:r><w:rPr><w:rFonts w:ascii="Aptos" w:cs="Aptos" w:eastAsia="Aptos" w:hAnsi="Aptos"/><w:b w:val="false"/><w:bCs w:val="false"/><w:i w:val="false"/><w:iCs w:val="false"/><w:sz w:val="24"/><w:szCs w:val="24"/></w:rPr><w:t xml:space="preserve">[Effective Date]</w:t></w:r></w:p><w:p><w:pPr><w:spacing w:after="60"/></w:pPr><w:r><w:rPr><w:rFonts w:ascii="Aptos" w:cs="Aptos" w:eastAsia="Aptos" w:hAnsi="Aptos"/><w:b/><w:bCs/><w:i w:val="false"/><w:iCs w:val="false"/><w:sz w:val="24"/><w:szCs w:val="24"/></w:rPr><w:t xml:space="preserve">Owner: </w:t></w:r><w:r><w:rPr><w:rFonts w:ascii="Aptos" w:cs="Aptos" w:eastAsia="Aptos" w:hAnsi="Aptos"/><w:b w:val="false"/><w:bCs w:val="false"/><w:i w:val="false"/><w:iCs w:val="false"/><w:sz w:val="24"/><w:szCs w:val="24"/></w:rPr><w:t xml:space="preserve">[Role Title]   </w:t></w:r><w:r><w:rPr><w:rFonts w:ascii="Aptos" w:cs="Aptos" w:eastAsia="Aptos" w:hAnsi="Aptos"/><w:b w:val="false"/><w:bCs w:val="false"/><w:i/><w:iCs/><w:color w:val="595959"/><w:sz w:val="24"/><w:szCs w:val="24"/></w:rPr><w:t xml:space="preserve">«use a role, not a person’s name.»</w:t></w:r></w:p><w:p><w:pPr><w:spacing w:after="20"/></w:pPr><w:r><w:rPr><w:rFonts w:ascii="Aptos" w:cs="Aptos" w:eastAsia="Aptos" w:hAnsi="Aptos"/><w:b/><w:bCs/><w:i w:val="false"/><w:iCs w:val="false"/><w:sz w:val="24"/><w:szCs w:val="24"/></w:rPr><w:t xml:space="preserve">Classification: </w:t></w:r><w:r><w:rPr><w:rFonts w:ascii="Aptos" w:cs="Aptos" w:eastAsia="Aptos" w:hAnsi="Aptos"/><w:b w:val="false"/><w:bCs w:val="false"/><w:i w:val="false"/><w:iCs w:val="false"/><w:sz w:val="24"/><w:szCs w:val="24"/></w:rPr><w:t xml:space="preserve">Restricted</w:t></w:r></w:p><w:p><w:pPr><w:spacing w:after="0"/></w:pPr><w:r><w:rPr><w:rFonts w:ascii="Aptos" w:cs="Aptos" w:eastAsia="Aptos" w:hAnsi="Aptos"/><w:i/><w:iCs/><w:color w:val="595959"/><w:sz w:val="24"/><w:szCs w:val="24"/></w:rPr><w:t xml:space="preserve">«Minimum for Standard artifacts. Stays Restricted in most cases. Drop to Internal only when the standard merely references public best practice.»</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F4F1E8"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How to use this template </w:t></w:r><w:r><w:rPr><w:rFonts w:ascii="Aptos" w:cs="Aptos" w:eastAsia="Aptos" w:hAnsi="Aptos"/><w:b w:val="false"/><w:bCs w:val="false"/><w:i/><w:iCs/><w:color w:val="595959"/><w:sz w:val="24"/><w:szCs w:val="24"/></w:rPr><w:t xml:space="preserve">(delete this box before publishing)</w:t></w:r></w:p><w:p><w:pPr><w:spacing w:after="140"/></w:pPr><w:r><w:rPr><w:rFonts w:ascii="Aptos" w:cs="Aptos" w:eastAsia="Aptos" w:hAnsi="Aptos"/><w:i/><w:iCs/><w:color w:val="595959"/><w:sz w:val="24"/><w:szCs w:val="24"/></w:rPr><w:t>This template is ready to adopt. Replace every [BRACKETED] field with your agency's information, follow the « » guidance notes, and delete every « » note and this box before you publish.</w:t></w:r></w:p><w:p><w:pPr><w:spacing w:after="0"/></w:pPr><w:r><w:rPr><w:rFonts w:ascii="Aptos" w:cs="Aptos" w:eastAsia="Aptos" w:hAnsi="Aptos"/><w:b/><w:bCs/><w:i w:val="false"/><w:iCs w:val="false"/><w:sz w:val="24"/><w:szCs w:val="24"/></w:rPr><w:t xml:space="preserve">Placeholder key: </w:t></w:r><w:r><w:rPr><w:rFonts w:ascii="Aptos" w:cs="Aptos" w:eastAsia="Aptos" w:hAnsi="Aptos"/><w:b w:val="false"/><w:bCs w:val="false"/><w:i w:val="false"/><w:iCs w:val="false"/><w:sz w:val="24"/><w:szCs w:val="24"/></w:rPr><w:t xml:space="preserve">[BRACKETED]</w:t></w:r><w:r><w:rPr><w:rFonts w:ascii="Aptos" w:cs="Aptos" w:eastAsia="Aptos" w:hAnsi="Aptos"/><w:b w:val="false"/><w:bCs w:val="false"/><w:i w:val="false"/><w:iCs w:val="false"/><w:sz w:val="24"/><w:szCs w:val="24"/></w:rPr><w:t xml:space="preserve"> = fill in   ·   </w:t></w:r><w:r><w:rPr><w:rFonts w:ascii="Aptos" w:cs="Aptos" w:eastAsia="Aptos" w:hAnsi="Aptos"/><w:b/><w:bCs/><w:i w:val="false"/><w:iCs w:val="false"/><w:sz w:val="24"/><w:szCs w:val="24"/></w:rPr><w:t xml:space="preserve">[REQUIRED]</w:t></w:r><w:r><w:rPr><w:rFonts w:ascii="Aptos" w:cs="Aptos" w:eastAsia="Aptos" w:hAnsi="Aptos"/><w:b w:val="false"/><w:bCs w:val="false"/><w:i w:val="false"/><w:iCs w:val="false"/><w:sz w:val="24"/><w:szCs w:val="24"/></w:rPr><w:t xml:space="preserve"> (bold) = required field   ·   </w:t></w:r><w:r><w:rPr><w:rFonts w:ascii="Aptos" w:cs="Aptos" w:eastAsia="Aptos" w:hAnsi="Aptos"/><w:b w:val="false"/><w:bCs w:val="false"/><w:i/><w:iCs/><w:color w:val="595959"/><w:sz w:val="24"/><w:szCs w:val="24"/></w:rPr><w:t xml:space="preserve">« »</w:t></w:r><w:r><w:rPr><w:rFonts w:ascii="Aptos" w:cs="Aptos" w:eastAsia="Aptos" w:hAnsi="Aptos"/><w:b w:val="false"/><w:bCs w:val="false"/><w:i w:val="false"/><w:iCs w:val="false"/><w:sz w:val="24"/><w:szCs w:val="24"/></w:rPr><w:t xml:space="preserve"> = guidance to delete.</w:t></w:r></w:p><w:p><w:pPr><w:spacing w:after="140"/></w:pPr><w:r><w:rPr><w:rFonts w:ascii="Aptos" w:cs="Aptos" w:eastAsia="Aptos" w:hAnsi="Aptos"/><w:i/><w:iCs/><w:color w:val="595959"/><w:sz w:val="24"/><w:szCs w:val="24"/></w:rPr><w:t xml:space="preserve">Keep the body director-readable. Push technical detail and contact lists to an appendix. Source Authority, approval signatures, and revision history stay at the foot of the document.</w:t></w:r></w:p></w:tc></w:tr></w:tbl><w:p><w:pPr><w:pStyle w:val="Heading2"/><w:spacing w:after="100" w:before="220"/></w:pPr><w:r><w:rPr><w:rFonts w:ascii="Aptos" w:cs="Aptos" w:eastAsia="Aptos" w:hAnsi="Aptos"/><w:b/><w:bCs/><w:color w:val="1B3A5C"/><w:sz w:val="26"/><w:szCs w:val="26"/></w:rPr><w:t xml:space="preserve">1. Purpose</w:t></w:r></w:p><w:p><w:pPr><w:spacing w:after="140"/></w:pPr><w:r><w:rPr><w:rFonts w:ascii="Aptos" w:cs="Aptos" w:eastAsia="Aptos" w:hAnsi="Aptos"/><w:i/><w:iCs/><w:color w:val="595959"/><w:sz w:val="24"/><w:szCs w:val="24"/></w:rPr><w:t xml:space="preserve">«What this standard prescribes and the policy it implements. A Standard states what must be true; it governs behavior.»</w:t></w:r></w:p><w:p><w:pPr><w:spacing w:after="120" w:before="0"/></w:pPr><w:r><w:rPr><w:rFonts w:ascii="Aptos" w:cs="Aptos" w:eastAsia="Aptos" w:hAnsi="Aptos"/><w:b w:val="false"/><w:bCs w:val="false"/><w:i w:val="false"/><w:iCs w:val="false"/><w:sz w:val="24"/><w:szCs w:val="24"/></w:rPr><w:t>This standard sets the physical hardening requirements for [Agency Name]'s equipment areas: where equipment may be placed, how cabling is secured and labeled, how equipment is locked, and how displays are protected from unauthorized viewing. It implements the Physical Access Control Policy and is the standard the Server Room / Equipment Area Hardening Assessment Record is assessed against.</w:t></w:r></w:p><w:p><w:pPr><w:pStyle w:val="Heading2"/><w:spacing w:after="100" w:before="220"/></w:pPr><w:r><w:rPr><w:rFonts w:ascii="Aptos" w:cs="Aptos" w:eastAsia="Aptos" w:hAnsi="Aptos"/><w:b/><w:bCs/><w:color w:val="1B3A5C"/><w:sz w:val="26"/><w:szCs w:val="26"/></w:rPr><w:t xml:space="preserve">2. Scope</w:t></w:r></w:p><w:p><w:pPr><w:spacing w:after="140"/></w:pPr><w:r><w:rPr><w:rFonts w:ascii="Aptos" w:cs="Aptos" w:eastAsia="Aptos" w:hAnsi="Aptos"/><w:i/><w:iCs/><w:color w:val="595959"/><w:sz w:val="24"/><w:szCs w:val="24"/></w:rPr><w:t xml:space="preserve">«What and who the standard binds; which systems or data it applies to.»</w:t></w:r></w:p><w:p><w:pPr><w:pStyle w:val="ListParagraph"/><w:numPr><w:ilvl w:val="0"/><w:numId w:val="2"/></w:numPr><w:spacing w:after="60"/></w:pPr><w:r><w:rPr><w:rFonts w:ascii="Aptos" w:cs="Aptos" w:eastAsia="Aptos" w:hAnsi="Aptos"/><w:b w:val="false"/><w:bCs w:val="false"/><w:i w:val="false"/><w:iCs w:val="false"/><w:sz w:val="24"/><w:szCs w:val="24"/></w:rPr><w:t>Applies to: all equipment areas that house public-safety systems (server and equipment rooms, telecommunications and cabling spaces, and dispatch positions), and the cabling, equipment, and displays within them.</w:t></w:r></w:p><w:p><w:pPr><w:pStyle w:val="ListParagraph"/><w:numPr><w:ilvl w:val="0"/><w:numId w:val="2"/></w:numPr><w:spacing w:after="60"/></w:pPr><w:r><w:rPr><w:rFonts w:ascii="Aptos" w:cs="Aptos" w:eastAsia="Aptos" w:hAnsi="Aptos"/><w:b w:val="false"/><w:bCs w:val="false"/><w:i w:val="false"/><w:iCs w:val="false"/><w:sz w:val="24"/><w:szCs w:val="24"/></w:rPr><w:t>Implements: Physical Access Control Policy.</w:t></w:r></w:p><w:p><w:pPr><w:pStyle w:val="ListParagraph"/><w:numPr><w:ilvl w:val="0"/><w:numId w:val="2"/></w:numPr><w:spacing w:after="60"/></w:pPr><w:r><w:rPr><w:rFonts w:ascii="Aptos" w:cs="Aptos" w:eastAsia="Aptos" w:hAnsi="Aptos"/><w:b w:val="false"/><w:bCs w:val="false"/><w:i w:val="false"/><w:iCs w:val="false"/><w:sz w:val="24"/><w:szCs w:val="24"/></w:rPr><w:t>Excludes: [exclusions, if any; if none, write "None."]</w:t></w:r></w:p><w:p><w:pPr><w:pStyle w:val="Heading2"/><w:spacing w:after="100" w:before="220"/></w:pPr><w:r><w:rPr><w:rFonts w:ascii="Aptos" w:cs="Aptos" w:eastAsia="Aptos" w:hAnsi="Aptos"/><w:b/><w:bCs/><w:color w:val="1B3A5C"/><w:sz w:val="26"/><w:szCs w:val="26"/></w:rPr><w:t xml:space="preserve">3. Requirements</w:t></w:r></w:p><w:p><w:pPr><w:spacing w:after="140"/></w:pPr><w:r><w:rPr><w:rFonts w:ascii="Aptos" w:cs="Aptos" w:eastAsia="Aptos" w:hAnsi="Aptos"/><w:i/><w:iCs/><w:color w:val="595959"/><w:sz w:val="24"/><w:szCs w:val="24"/></w:rPr><w:t xml:space="preserve">«The binding requirements, as numbered statements. Each must be testable. Use “The Agency shall…”.»</w:t></w:r></w:p><w:p><w:pPr><w:pStyle w:val="ListParagraph"/><w:numPr><w:ilvl w:val="0"/><w:numId w:val="3"/></w:numPr><w:spacing w:after="60"/></w:pPr><w:r><w:rPr><w:rFonts w:ascii="Aptos" w:cs="Aptos" w:eastAsia="Aptos" w:hAnsi="Aptos"/><w:b w:val="false"/><w:bCs w:val="false"/><w:i w:val="false"/><w:iCs w:val="false"/><w:sz w:val="24"/><w:szCs w:val="24"/></w:rPr><w:t>The Agency shall place servers, network equipment, telephony and CAD appliances, and other sensitive infrastructure only in restricted, climate-controlled areas whose physical protection matches the classification of the systems they house.</w:t></w:r></w:p><w:p><w:pPr><w:pStyle w:val="ListParagraph"/><w:numPr><w:ilvl w:val="0"/><w:numId w:val="3"/></w:numPr><w:spacing w:after="60"/></w:pPr><w:r><w:rPr><w:rFonts w:ascii="Aptos" w:cs="Aptos" w:eastAsia="Aptos" w:hAnsi="Aptos"/><w:b w:val="false"/><w:bCs w:val="false"/><w:i w:val="false"/><w:iCs w:val="false"/><w:sz w:val="24"/><w:szCs w:val="24"/></w:rPr><w:t>The Agency shall deploy or relocate equipment only into areas that meet this standard, and shall verify placement and environmental controls before the equipment enters service.</w:t></w:r></w:p><w:p><w:pPr><w:pStyle w:val="ListParagraph"/><w:numPr><w:ilvl w:val="0"/><w:numId w:val="3"/></w:numPr><w:spacing w:after="60"/></w:pPr><w:r><w:rPr><w:rFonts w:ascii="Aptos" w:cs="Aptos" w:eastAsia="Aptos" w:hAnsi="Aptos"/><w:b w:val="false"/><w:bCs w:val="false"/><w:i w:val="false"/><w:iCs w:val="false"/><w:sz w:val="24"/><w:szCs w:val="24"/></w:rPr><w:t>Cabling and conduit. The Agency shall enclose network cabling, fiber, copper, and patch panels in locked racks or cable channels, label them to show circuit and criticality, route them through restricted zones, and inspect them for tampering on a defined cycle.</w:t></w:r></w:p><w:p><w:pPr><w:pStyle w:val="ListParagraph"/><w:numPr><w:ilvl w:val="0"/><w:numId w:val="3"/></w:numPr><w:spacing w:after="60"/></w:pPr><w:r><w:rPr><w:rFonts w:ascii="Aptos" w:cs="Aptos" w:eastAsia="Aptos" w:hAnsi="Aptos"/><w:b w:val="false"/><w:bCs w:val="false"/><w:i w:val="false"/><w:iCs w:val="false"/><w:sz w:val="24"/><w:szCs w:val="24"/></w:rPr><w:t>Equipment locking. The Agency shall secure equipment in locked racks, cabinets, or an equivalent enclosure, and shall limit the keys or credentials that open them to authorized personnel.</w:t></w:r></w:p><w:p><w:pPr><w:pStyle w:val="ListParagraph"/><w:numPr><w:ilvl w:val="0"/><w:numId w:val="3"/></w:numPr><w:spacing w:after="60"/></w:pPr><w:r><w:rPr><w:rFonts w:ascii="Aptos" w:cs="Aptos" w:eastAsia="Aptos" w:hAnsi="Aptos"/><w:b w:val="false"/><w:bCs w:val="false"/><w:i w:val="false"/><w:iCs w:val="false"/><w:sz w:val="24"/><w:szCs w:val="24"/></w:rPr><w:t>Display protection. The Agency shall protect dispatch terminals, call-taker screens, and situational-awareness displays from unauthorized viewing using positioning, physical barriers or privacy filters, and automatic screen lock after [a defined period] of inactivity.</w:t></w:r></w:p><w:p><w:pPr><w:pStyle w:val="ListParagraph"/><w:numPr><w:ilvl w:val="0"/><w:numId w:val="3"/></w:numPr><w:spacing w:after="60"/></w:pPr><w:r><w:rPr><w:rFonts w:ascii="Aptos" w:cs="Aptos" w:eastAsia="Aptos" w:hAnsi="Aptos"/><w:b w:val="false"/><w:bCs w:val="false"/><w:i w:val="false"/><w:iCs w:val="false"/><w:sz w:val="24"/><w:szCs w:val="24"/></w:rPr><w:t>Placement review. The Agency shall re-verify equipment placement, hardening, and environmental controls at least [Weekly / Monthly / Quarterly / Annually] and after any facility or equipment change, recording the result in the Server Room / Equipment Area Hardening Assessment Record.</w:t></w:r></w:p><w:p><w:pPr><w:pStyle w:val="ListParagraph"/><w:numPr><w:ilvl w:val="0"/><w:numId w:val="3"/></w:numPr><w:spacing w:after="60"/></w:pPr><w:r><w:rPr><w:rFonts w:ascii="Aptos" w:cs="Aptos" w:eastAsia="Aptos" w:hAnsi="Aptos"/><w:b w:val="false"/><w:bCs w:val="false"/><w:i w:val="false"/><w:iCs w:val="false"/><w:sz w:val="24"/><w:szCs w:val="24"/></w:rPr><w:t>Where facility constraints prevent full compliance, including equipment co-located with other agencies in shared space, the Agency shall apply compensating controls and record the gap under the Deviation Process below.</w:t></w:r></w:p><w:p><w:pPr><w:pStyle w:val="Heading2"/><w:spacing w:after="100" w:before="220"/></w:pPr><w:r><w:rPr><w:rFonts w:ascii="Aptos" w:cs="Aptos" w:eastAsia="Aptos" w:hAnsi="Aptos"/><w:b/><w:bCs/><w:color w:val="1B3A5C"/><w:sz w:val="26"/><w:szCs w:val="26"/></w:rPr><w:t xml:space="preserve">4. Approved and Prohibited</w:t></w:r></w:p><w:p><w:pPr><w:spacing w:after="140"/></w:pPr><w:r><w:rPr><w:rFonts w:ascii="Aptos" w:cs="Aptos" w:eastAsia="Aptos" w:hAnsi="Aptos"/><w:i/><w:iCs/><w:color w:val="595959"/><w:sz w:val="24"/><w:szCs w:val="24"/></w:rPr><w:t xml:space="preserve">«The concrete allow/deny lists this standard sets (e.g., approved algorithms, prohibited protocols). Keep the as-built evidence in the matching Configuration Record, not here.»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rPr><w:tblHeader/></w:trPr><w:tc><w:tcPr><w:tcW w:type="dxa" w:w="468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Approved</w:t></w:r></w:p></w:tc><w:tc><w:tcPr><w:tcW w:type="dxa" w:w="468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Prohibited</w:t></w:r></w:p></w:tc></w:tr><w:tr><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Sensitive infrastructure in restricted, climate-controlled rooms matched to system classification.</w:t></w:r></w:p></w:tc><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Sensitive infrastructure in open, public, or general-purpose areas.</w:t></w:r></w:p></w:tc></w:tr><w:tr><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Cabling in locked racks or channels, labeled, routed through restricted zones.</w:t></w:r></w:p></w:tc><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Unlabeled cabling, or cabling run through unrestricted or publicly accessible space.</w:t></w:r></w:p></w:tc></w:tr><w:tr><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Equipment secured in locked racks or cabinets with keys limited to authorized staff.</w:t></w:r></w:p></w:tc><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Unsecured equipment, or shared and uncontrolled rack keys.</w:t></w:r></w:p></w:tc></w:tr><w:tr><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Privacy filters and automatic screen lock on every dispatch and call-taker display.</w:t></w:r></w:p></w:tc><w:tc><w:tcPr><w:tcW w:type="dxa" w:w="468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Screens viewable from public areas, or displays with no automatic lock.</w:t></w:r></w:p></w:tc></w:tr></w:tbl><w:p><w:pPr><w:pStyle w:val="Heading2"/><w:spacing w:after="100" w:before="220"/></w:pPr><w:r><w:rPr><w:rFonts w:ascii="Aptos" w:cs="Aptos" w:eastAsia="Aptos" w:hAnsi="Aptos"/><w:b/><w:bCs/><w:color w:val="1B3A5C"/><w:sz w:val="26"/><w:szCs w:val="26"/></w:rPr><w:t xml:space="preserve">5. Deviation Process</w:t></w:r></w:p><w:p><w:pPr><w:spacing w:after="140"/></w:pPr><w:r><w:rPr><w:rFonts w:ascii="Aptos" w:cs="Aptos" w:eastAsia="Aptos" w:hAnsi="Aptos"/><w:i/><w:iCs/><w:color w:val="595959"/><w:sz w:val="24"/><w:szCs w:val="24"/></w:rPr><w:t xml:space="preserve">«Who may approve a deviation, how it is requested and recorded, and how long it lasts before review.»</w:t></w:r></w:p><w:p><w:pPr><w:spacing w:after="120" w:before="0"/></w:pPr><w:r><w:rPr><w:rFonts w:ascii="Aptos" w:cs="Aptos" w:eastAsia="Aptos" w:hAnsi="Aptos"/><w:b w:val="false"/><w:bCs w:val="false"/><w:i w:val="false"/><w:iCs w:val="false"/><w:sz w:val="24"/><w:szCs w:val="24"/></w:rPr><w:t>A deviation from this standard, including a placement or hardening gap driven by facility constraints, requires written approval from the [Director / Coordinator]. The request states the gap, the reason, the compensating controls in place, and a re-evaluation date. Approved deviations are recorded in the Server Room / Equipment Area Hardening Assessment Record and reviewed at least [Weekly / Monthly / Quarterly / Annually 2].</w:t></w:r></w:p><w:p><w:pPr><w:pStyle w:val="Heading2"/><w:spacing w:after="100" w:before="220"/></w:pPr><w:r><w:rPr><w:rFonts w:ascii="Aptos" w:cs="Aptos" w:eastAsia="Aptos" w:hAnsi="Aptos"/><w:b/><w:bCs/><w:color w:val="1B3A5C"/><w:sz w:val="26"/><w:szCs w:val="26"/></w:rPr><w:t xml:space="preserve">6. Review Schedule</w:t></w:r></w:p><w:p><w:pPr><w:spacing w:after="140"/></w:pPr><w:r><w:rPr><w:rFonts w:ascii="Aptos" w:cs="Aptos" w:eastAsia="Aptos" w:hAnsi="Aptos"/><w:i/><w:iCs/><w:color w:val="595959"/><w:sz w:val="24"/><w:szCs w:val="24"/></w:rPr><w:t xml:space="preserve">«Review cadence and trigger events (annual at minimum; also on significant change). Name the owning role.»</w:t></w:r></w:p><w:p><w:pPr><w:spacing w:after="120" w:before="0"/></w:pPr><w:r><w:rPr><w:rFonts w:ascii="Aptos" w:cs="Aptos" w:eastAsia="Aptos" w:hAnsi="Aptos"/><w:b w:val="false"/><w:bCs w:val="false"/><w:i w:val="false"/><w:iCs w:val="false"/><w:sz w:val="24"/><w:szCs w:val="24"/></w:rPr><w:t>This standard is reviewed at least [Weekly / Monthly / Quarterly / Annually 3] and after any significant change to the Agency's facilities, equipment, or physical threat environment, by the [Owner Role].</w:t></w:r></w:p><w:p><w:pPr><w:pStyle w:val="Heading2"/><w:spacing w:after="100" w:before="220"/></w:pPr><w:r><w:rPr><w:rFonts w:ascii="Aptos" w:cs="Aptos" w:eastAsia="Aptos" w:hAnsi="Aptos"/><w:b/><w:bCs/><w:color w:val="1B3A5C"/><w:sz w:val="26"/><w:szCs w:val="26"/></w:rPr><w:t xml:space="preserve">Profile Scaling Notes</w:t></w:r></w:p><w:p><w:pPr><w:spacing w:after="140"/></w:pPr><w:r><w:rPr><w:rFonts w:ascii="Aptos" w:cs="Aptos" w:eastAsia="Aptos" w:hAnsi="Aptos"/><w:i/><w:iCs/><w:color w:val="595959"/><w:sz w:val="24"/><w:szCs w:val="24"/></w:rPr><w:t xml:space="preserve">One short paragraph per profile: what minimum-viable looks like for that reader and where to scale up. Keep all three if this ships as a template; delete the profiles that do not apply once adopted.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rPr><w:tblHeader/></w:trPr><w:tc><w:tcPr><w:tcW w:type="dxa" w:w="3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PSAP Profile</w:t></w:r></w:p></w:tc><w:tc><w:tcPr><w:tcW w:type="dxa" w:w="61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Minimum-viable implementation</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Small (1–5 dispatchers, no in-house IT)</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Most equipment sits in one room, often shared with the sheriff's office. Meet the standard with what scales: locked racks, labeled cabling, privacy filters, and auto-lock on every screen. The director checks placement once a year and records any shared-space gap as a deviation with a compensating control.</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Medium (6–25, shared county IT)</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Dedicate a secured equipment room where you can, and have county IT confirm placement, cabling, and locking against this standard on a set cycle. Make display protection a standard build step for every new position.</w:t></w:r></w:p></w:tc></w:tr><w:tr><w:tc><w:tcPr><w:tcW w:type="dxa" w:w="3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Large (25+, dedicated IT/security)</w:t></w:r></w:p></w:tc><w:tc><w:tcPr><w:tcW w:type="dxa" w:w="61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Maintain formal placement and hardening standards across both centers, with facilities or IT inspecting on a schedule and logging results in the assessment record. Cabling inspection and display protection are part of routine facility management.</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EEF2F7"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Source Authority</w:t></w:r></w:p><w:p><w:pPr><w:spacing w:after="140"/></w:pPr><w:r><w:rPr><w:rFonts w:ascii="Aptos" w:cs="Aptos" w:eastAsia="Aptos" w:hAnsi="Aptos"/><w:i/><w:iCs/><w:color w:val="595959"/><w:sz w:val="24"/><w:szCs w:val="24"/></w:rPr><w:t xml:space="preserve">List only the authorities that map to content in this artifact. Group by authority; order sections and control IDs numerically. No padding. Replace the lines below with the citations that actually apply.</w:t></w:r></w:p><w:p><w:pPr><w:spacing w:after="40" w:before="0"/></w:pPr><w:r><w:rPr><w:rFonts w:ascii="Aptos" w:cs="Aptos" w:eastAsia="Aptos" w:hAnsi="Aptos"/><w:b w:val="false"/><w:bCs w:val="false"/><w:i w:val="false"/><w:iCs w:val="false"/><w:sz w:val="24"/><w:szCs w:val="24"/></w:rPr><w:t>NENA-STA-040.2-2024: §6.1.1, §6.1.4, §6.1.5, §6.7.2</w:t></w:r></w:p><w:p><w:pPr><w:spacing w:after="40" w:before="0"/></w:pPr><w:r><w:rPr><w:rFonts w:ascii="Aptos" w:cs="Aptos" w:eastAsia="Aptos" w:hAnsi="Aptos"/><w:b w:val="false"/><w:bCs w:val="false"/><w:i w:val="false"/><w:iCs w:val="false"/><w:sz w:val="24"/><w:szCs w:val="24"/></w:rPr><w:t>NIST SP 800-53 Rev. 5: PE-3, PE-4, PE-5, PE-14, PE-18</w:t></w:r></w:p></w:tc></w:tr></w:tbl><w:p><w:pPr><w:pStyle w:val="Heading2"/><w:spacing w:after="100" w:before="220"/></w:pPr><w:r><w:rPr><w:rFonts w:ascii="Aptos" w:cs="Aptos" w:eastAsia="Aptos" w:hAnsi="Aptos"/><w:b/><w:bCs/><w:color w:val="1B3A5C"/><w:sz w:val="26"/><w:szCs w:val="26"/></w:rPr><w:t xml:space="preserve">Approval Signatures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360"/><w:gridCol w:w="2600"/><w:gridCol w:w="1400"/></w:tblGrid><w:tr><w:trPr><w:tblHeader/></w:trPr><w:tc><w:tcPr><w:tcW w:type="dxa" w:w="30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Role</w:t></w:r></w:p></w:tc><w:tc><w:tcPr><w:tcW w:type="dxa" w:w="23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Name</w:t></w:r></w:p></w:tc><w:tc><w:tcPr><w:tcW w:type="dxa" w:w="26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Signature</w:t></w:r></w:p></w:tc><w:tc><w:tcPr><w:tcW w:type="dxa" w:w="14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Date</w:t></w: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[Approving Official & Title]</w:t></w:r></w:p></w:tc><w:tc><w:tcPr><w:tcW w:type="dxa" w:w="236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260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tc></w:tr><w:tr><w:tc><w:tcPr><w:tcW w:type="dxa" w:w="30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[Owner Role 2]</w:t></w:r></w:p></w:tc><w:tc><w:tcPr><w:tcW w:type="dxa" w:w="236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2600"/><w:tcBorders><w:top w:val="single" w:color="BFBFBF" w:sz="4"/><w:left w:val="single" w:color="BFBFBF" w:sz="4"/><w:bottom w:val="single" w:color="BFBFBF" w:sz="4"/><w:right w:val="single" w:color="BFBFBF" w:sz="4"/></w:tcBorders><w:tcMar><w:top w:type="dxa" w:w="80"/><w:left w:type="dxa" w:w="120"/><w:bottom w:type="dxa" w:w="80"/><w:right w:type="dxa" w:w="120"/></w:tcMar></w:tcPr><w:p/></w:tc><w:tc><w:tcPr><w:tcW w:type="dxa" w:w="1400"/><w:tcBorders><w:top w:val="single" w:color="BFBFBF" w:sz="4"/><w:left w:val="single" w:color="BFBFBF" w:sz="4"/><w:bottom w:val="single" w:color="BFBFBF" w:sz="4"/><w:right w:val="single" w:color="BFBFBF" w:sz="4"/></w:tcBorders><w:tcMar><w:top w:type="dxa" w:w="80"/><w:left w:type="dxa" w:w="120"/><w:bottom w:type="dxa" w:w="80"/><w:right w:type="dxa" w:w="120"/></w:tcMar></w:tcPr><w:p/></w:tc></w:tr></w:tbl><w:p><w:pPr><w:pStyle w:val="Heading2"/><w:spacing w:after="100" w:before="220"/></w:pPr><w:r><w:rPr><w:rFonts w:ascii="Aptos" w:cs="Aptos" w:eastAsia="Aptos" w:hAnsi="Aptos"/><w:b/><w:bCs/><w:color w:val="1B3A5C"/><w:sz w:val="26"/><w:szCs w:val="26"/></w:rPr><w:t xml:space="preserve">Revision History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300"/><w:gridCol w:w="1600"/><w:gridCol w:w="2200"/><w:gridCol w:w="4260"/></w:tblGrid><w:tr><w:trPr><w:tblHeader/></w:trPr><w:tc><w:tcPr><w:tcW w:type="dxa" w:w="13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Version</w:t></w:r></w:p></w:tc><w:tc><w:tcPr><w:tcW w:type="dxa" w:w="16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Date</w:t></w:r></w:p></w:tc><w:tc><w:tcPr><w:tcW w:type="dxa" w:w="220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Author</w:t></w:r></w:p></w:tc><w:tc><w:tcPr><w:tcW w:type="dxa" w:w="4260"/><w:tcBorders><w:top w:val="single" w:color="BFBFBF" w:sz="4"/><w:left w:val="single" w:color="BFBFBF" w:sz="4"/><w:bottom w:val="single" w:color="BFBFBF" w:sz="4"/><w:right w:val="single" w:color="BFBFBF" w:sz="4"/></w:tcBorders><w:shd w:fill="1B3A5C" w:val="clear"/><w:tcMar><w:top w:type="dxa" w:w="80"/><w:left w:type="dxa" w:w="120"/><w:bottom w:type="dxa" w:w="80"/><w:right w:type="dxa" w:w="120"/></w:tcMar></w:tcPr><w:p><w:r><w:rPr><w:rFonts w:ascii="Aptos" w:cs="Aptos" w:eastAsia="Aptos" w:hAnsi="Aptos"/><w:b/><w:bCs/><w:color w:val="FFFFFF"/><w:sz w:val="24"/><w:szCs w:val="24"/></w:rPr><w:t xml:space="preserve">Summary of Change</w:t></w:r></w:p></w:tc></w:tr><w:tr><w:tc><w:tcPr><w:tcW w:type="dxa" w:w="13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[Version]</w:t></w:r></w:p></w:tc><w:tc><w:tcPr><w:tcW w:type="dxa" w:w="16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[Effective Date]</w:t></w:r></w:p></w:tc><w:tc><w:tcPr><w:tcW w:type="dxa" w:w="220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[Reviewer Role]</w:t></w:r></w:p></w:tc><w:tc><w:tcPr><w:tcW w:type="dxa" w:w="4260"/><w:tcBorders><w:top w:val="single" w:color="BFBFBF" w:sz="4"/><w:left w:val="single" w:color="BFBFBF" w:sz="4"/><w:bottom w:val="single" w:color="BFBFBF" w:sz="4"/><w:right w:val="single" w:color="BFBFBF" w:sz="4"/></w:tcBorders><w:tcMar><w:top w:type="dxa" w:w="80"/><w:left w:type="dxa" w:w="120"/><w:bottom w:type="dxa" w:w="80"/><w:right w:type="dxa" w:w="120"/></w:tcMar></w:tcPr><w:p><w:r><w:rPr><w:rFonts w:ascii="Aptos" w:cs="Aptos" w:eastAsia="Aptos" w:hAnsi="Aptos"/><w:b w:val="false"/><w:bCs w:val="false"/><w:i w:val="false"/><w:iCs w:val="false"/><w:sz w:val="24"/><w:szCs w:val="24"/></w:rPr><w:t xml:space="preserve">[Initial Revision Note]</w:t></w:r></w:p></w:tc></w:tr></w:tbl><w:p><w:pPr><w:spacing w:after="6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BFBFBF" w:sz="4"/><w:left w:val="single" w:color="BFBFBF" w:sz="4"/><w:bottom w:val="single" w:color="BFBFBF" w:sz="4"/><w:right w:val="single" w:color="BFBFBF" w:sz="4"/></w:tcBorders><w:shd w:fill="F4F1E8" w:val="clear"/><w:tcMar><w:top w:type="dxa" w:w="80"/><w:left w:type="dxa" w:w="120"/><w:bottom w:type="dxa" w:w="80"/><w:right w:type="dxa" w:w="120"/></w:tcMar></w:tcPr><w:p><w:pPr><w:spacing w:after="60"/></w:pPr><w:r><w:rPr><w:rFonts w:ascii="Aptos" w:cs="Aptos" w:eastAsia="Aptos" w:hAnsi="Aptos"/><w:b/><w:bCs/><w:i w:val="false"/><w:iCs w:val="false"/><w:color w:val="1B3A5C"/><w:sz w:val="24"/><w:szCs w:val="24"/></w:rPr><w:t xml:space="preserve">Drafter’s note </w:t></w:r><w:r><w:rPr><w:rFonts w:ascii="Aptos" w:cs="Aptos" w:eastAsia="Aptos" w:hAnsi="Aptos"/><w:b w:val="false"/><w:bCs w:val="false"/><w:i/><w:iCs/><w:color w:val="595959"/><w:sz w:val="24"/><w:szCs w:val="24"/></w:rPr><w:t xml:space="preserve">(internal, delete before publishing)</w:t></w:r></w:p><w:p><w:pPr><w:spacing w:after="140"/></w:pPr><w:r><w:rPr><w:rFonts w:ascii="Aptos" w:cs="Aptos" w:eastAsia="Aptos" w:hAnsi="Aptos"/><w:i/><w:iCs/><w:color w:val="595959"/><w:sz w:val="24"/><w:szCs w:val="24"/></w:rPr><w:t>Confirm before finalizing: (1) the [Owner Role 3] for physical hardening (Facilities, IT support, or the director, depending on the agency); (2) the screen-lock period in Requirement 5 and the placement-review cadence in Requirement 6; (3) the NENA-STA-040.2-2024 sections (6.1.1 Physical Protections, 6.1.4 Transmission Medium, 6.1.5 Display Medium, 6.7.2 Environmental Controls) against the standard in force. No CJIS overlay: CJIS-regulated systems are maintained by the State outside PSAP scope. Cross-referenced artifacts use Tracker names: Physical Access Control Policy, Server Room / Equipment Area Hardening Assessment Record.</w:t></w:r></w:p></w:tc></w:tr></w:tbl><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