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60"/></w:pPr><w:r><w:rPr><w:rFonts w:ascii="Aptos" w:cs="Aptos" w:eastAsia="Aptos" w:hAnsi="Aptos"/><w:b/><w:bCs/><w:color w:val="1B3A5C"/><w:sz w:val="40"/><w:szCs w:val="40"/></w:rPr><w:t>System Configuration Baselines (per system type)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FBFBF" w:sz="4"/><w:left w:val="single" w:color="BFBFBF" w:sz="4"/><w:bottom w:val="single" w:color="BFBFBF" w:sz="4"/><w:right w:val="single" w:color="BFBFBF" w:sz="4"/></w:tcBorders><w:shd w:fill="EEF2F7" w:val="clear"/><w:tcMar><w:top w:type="dxa" w:w="80"/><w:left w:type="dxa" w:w="120"/><w:bottom w:type="dxa" w:w="80"/><w:right w:type="dxa" w:w="120"/></w:tcMar></w:tcPr><w:p><w:pPr><w:spacing w:after="60"/></w:pPr><w:r><w:rPr><w:rFonts w:ascii="Aptos" w:cs="Aptos" w:eastAsia="Aptos" w:hAnsi="Aptos"/><w:b/><w:bCs/><w:i w:val="false"/><w:iCs w:val="false"/><w:sz w:val="24"/><w:szCs w:val="24"/></w:rPr><w:t xml:space="preserve">Authority: </w:t></w:r><w:r><w:rPr><w:rFonts w:ascii="Aptos" w:cs="Aptos" w:eastAsia="Aptos" w:hAnsi="Aptos"/><w:b w:val="false"/><w:bCs w:val="false"/><w:i w:val="false"/><w:iCs w:val="false"/><w:sz w:val="24"/><w:szCs w:val="24"/></w:rPr><w:t xml:space="preserve">Adopted by </w:t></w:r><w:r><w:rPr><w:rFonts w:ascii="Aptos" w:cs="Aptos" w:eastAsia="Aptos" w:hAnsi="Aptos"/><w:b/><w:bCs/><w:i w:val="false"/><w:iCs w:val="false"/><w:sz w:val="24"/><w:szCs w:val="24"/></w:rPr><w:t xml:space="preserve">[Agency Name]</w:t></w:r><w:r><w:rPr><w:rFonts w:ascii="Aptos" w:cs="Aptos" w:eastAsia="Aptos" w:hAnsi="Aptos"/><w:b w:val="false"/><w:bCs w:val="false"/><w:i w:val="false"/><w:iCs w:val="false"/><w:sz w:val="24"/><w:szCs w:val="24"/></w:rPr><w:t xml:space="preserve"> under the authority of </w:t></w:r><w:r><w:rPr><w:rFonts w:ascii="Aptos" w:cs="Aptos" w:eastAsia="Aptos" w:hAnsi="Aptos"/><w:b/><w:bCs/><w:i w:val="false"/><w:iCs w:val="false"/><w:sz w:val="24"/><w:szCs w:val="24"/></w:rPr><w:t xml:space="preserve">[Signing Official & Title]</w:t></w:r><w:r><w:rPr><w:rFonts w:ascii="Aptos" w:cs="Aptos" w:eastAsia="Aptos" w:hAnsi="Aptos"/><w:b w:val="false"/><w:bCs w:val="false"/><w:i w:val="false"/><w:iCs w:val="false"/><w:sz w:val="24"/><w:szCs w:val="24"/></w:rPr><w:t xml:space="preserve">.</w:t></w:r></w:p><w:p><w:pPr><w:spacing w:after="60"/></w:pPr><w:r><w:rPr><w:rFonts w:ascii="Aptos" w:cs="Aptos" w:eastAsia="Aptos" w:hAnsi="Aptos"/><w:b/><w:bCs/><w:i w:val="false"/><w:iCs w:val="false"/><w:sz w:val="24"/><w:szCs w:val="24"/></w:rPr><w:t xml:space="preserve">Version: </w:t></w:r><w:r><w:rPr><w:rFonts w:ascii="Aptos" w:cs="Aptos" w:eastAsia="Aptos" w:hAnsi="Aptos"/><w:b w:val="false"/><w:bCs w:val="false"/><w:i w:val="false"/><w:iCs w:val="false"/><w:sz w:val="24"/><w:szCs w:val="24"/></w:rPr><w:t xml:space="preserve">[Version]    </w:t></w:r><w:r><w:rPr><w:rFonts w:ascii="Aptos" w:cs="Aptos" w:eastAsia="Aptos" w:hAnsi="Aptos"/><w:b/><w:bCs/><w:i w:val="false"/><w:iCs w:val="false"/><w:sz w:val="24"/><w:szCs w:val="24"/></w:rPr><w:t xml:space="preserve">Effective Date: </w:t></w:r><w:r><w:rPr><w:rFonts w:ascii="Aptos" w:cs="Aptos" w:eastAsia="Aptos" w:hAnsi="Aptos"/><w:b w:val="false"/><w:bCs w:val="false"/><w:i w:val="false"/><w:iCs w:val="false"/><w:sz w:val="24"/><w:szCs w:val="24"/></w:rPr><w:t xml:space="preserve">[Effective Date]    </w:t></w:r><w:r><w:rPr><w:rFonts w:ascii="Aptos" w:cs="Aptos" w:eastAsia="Aptos" w:hAnsi="Aptos"/><w:b/><w:bCs/><w:i w:val="false"/><w:iCs w:val="false"/><w:sz w:val="24"/><w:szCs w:val="24"/></w:rPr><w:t xml:space="preserve">Next Review: </w:t></w:r><w:r><w:rPr><w:rFonts w:ascii="Aptos" w:cs="Aptos" w:eastAsia="Aptos" w:hAnsi="Aptos"/><w:b w:val="false"/><w:bCs w:val="false"/><w:i w:val="false"/><w:iCs w:val="false"/><w:sz w:val="24"/><w:szCs w:val="24"/></w:rPr><w:t xml:space="preserve">[Effective Date]</w:t></w:r></w:p><w:p><w:pPr><w:spacing w:after="60"/></w:pPr><w:r><w:rPr><w:rFonts w:ascii="Aptos" w:cs="Aptos" w:eastAsia="Aptos" w:hAnsi="Aptos"/><w:b/><w:bCs/><w:i w:val="false"/><w:iCs w:val="false"/><w:sz w:val="24"/><w:szCs w:val="24"/></w:rPr><w:t xml:space="preserve">Owner: </w:t></w:r><w:r><w:rPr><w:rFonts w:ascii="Aptos" w:cs="Aptos" w:eastAsia="Aptos" w:hAnsi="Aptos"/><w:b w:val="false"/><w:bCs w:val="false"/><w:i w:val="false"/><w:iCs w:val="false"/><w:sz w:val="24"/><w:szCs w:val="24"/></w:rPr><w:t xml:space="preserve">[Role Title]   </w:t></w:r><w:r><w:rPr><w:rFonts w:ascii="Aptos" w:cs="Aptos" w:eastAsia="Aptos" w:hAnsi="Aptos"/><w:b w:val="false"/><w:bCs w:val="false"/><w:i/><w:iCs/><w:color w:val="595959"/><w:sz w:val="24"/><w:szCs w:val="24"/></w:rPr><w:t xml:space="preserve">«use a role, not a person’s name.»</w:t></w:r></w:p><w:p><w:pPr><w:spacing w:after="20"/></w:pPr><w:r><w:rPr><w:rFonts w:ascii="Aptos" w:cs="Aptos" w:eastAsia="Aptos" w:hAnsi="Aptos"/><w:b/><w:bCs/><w:i w:val="false"/><w:iCs w:val="false"/><w:sz w:val="24"/><w:szCs w:val="24"/></w:rPr><w:t xml:space="preserve">Classification: </w:t></w:r><w:r><w:rPr><w:rFonts w:ascii="Aptos" w:cs="Aptos" w:eastAsia="Aptos" w:hAnsi="Aptos"/><w:b w:val="false"/><w:bCs w:val="false"/><w:i w:val="false"/><w:iCs w:val="false"/><w:sz w:val="24"/><w:szCs w:val="24"/></w:rPr><w:t xml:space="preserve">Restricted</w:t></w:r></w:p><w:p><w:pPr><w:spacing w:after="0"/></w:pPr><w:r><w:rPr><w:rFonts w:ascii="Aptos" w:cs="Aptos" w:eastAsia="Aptos" w:hAnsi="Aptos"/><w:i/><w:iCs/><w:color w:val="595959"/><w:sz w:val="24"/><w:szCs w:val="24"/></w:rPr><w:t xml:space="preserve">«Minimum for Configuration Record artifacts. Stays Restricted in nearly all cases; these records reveal active security settings. Raise to Confidential only if a named custodian creates personal security risk.»</w:t></w:r></w:p></w:tc></w:tr></w:tbl><w:p><w:pPr><w:spacing w:after="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FBFBF" w:sz="4"/><w:left w:val="single" w:color="BFBFBF" w:sz="4"/><w:bottom w:val="single" w:color="BFBFBF" w:sz="4"/><w:right w:val="single" w:color="BFBFBF" w:sz="4"/></w:tcBorders><w:shd w:fill="F4F1E8" w:val="clear"/><w:tcMar><w:top w:type="dxa" w:w="80"/><w:left w:type="dxa" w:w="120"/><w:bottom w:type="dxa" w:w="80"/><w:right w:type="dxa" w:w="120"/></w:tcMar></w:tcPr><w:p><w:pPr><w:spacing w:after="60"/></w:pPr><w:r><w:rPr><w:rFonts w:ascii="Aptos" w:cs="Aptos" w:eastAsia="Aptos" w:hAnsi="Aptos"/><w:b/><w:bCs/><w:i w:val="false"/><w:iCs w:val="false"/><w:color w:val="1B3A5C"/><w:sz w:val="24"/><w:szCs w:val="24"/></w:rPr><w:t xml:space="preserve">How to use this template </w:t></w:r><w:r><w:rPr><w:rFonts w:ascii="Aptos" w:cs="Aptos" w:eastAsia="Aptos" w:hAnsi="Aptos"/><w:b w:val="false"/><w:bCs w:val="false"/><w:i/><w:iCs/><w:color w:val="595959"/><w:sz w:val="24"/><w:szCs w:val="24"/></w:rPr><w:t xml:space="preserve">(delete this box before publishing)</w:t></w:r></w:p><w:p><w:pPr><w:spacing w:after="140"/></w:pPr><w:r><w:rPr><w:rFonts w:ascii="Aptos" w:cs="Aptos" w:eastAsia="Aptos" w:hAnsi="Aptos"/><w:i/><w:iCs/><w:color w:val="595959"/><w:sz w:val="24"/><w:szCs w:val="24"/></w:rPr><w:t>This template is ready to adopt. Replace every [BRACKETED] field with your agency's information, follow the « » guidance notes, and delete every « » note and this box before you publish.</w:t></w:r></w:p><w:p><w:pPr><w:spacing w:after="0"/></w:pPr><w:r><w:rPr><w:rFonts w:ascii="Aptos" w:cs="Aptos" w:eastAsia="Aptos" w:hAnsi="Aptos"/><w:b/><w:bCs/><w:i w:val="false"/><w:iCs w:val="false"/><w:sz w:val="24"/><w:szCs w:val="24"/></w:rPr><w:t xml:space="preserve">Placeholder key: </w:t></w:r><w:r><w:rPr><w:rFonts w:ascii="Aptos" w:cs="Aptos" w:eastAsia="Aptos" w:hAnsi="Aptos"/><w:b w:val="false"/><w:bCs w:val="false"/><w:i w:val="false"/><w:iCs w:val="false"/><w:sz w:val="24"/><w:szCs w:val="24"/></w:rPr><w:t xml:space="preserve">[BRACKETED]</w:t></w:r><w:r><w:rPr><w:rFonts w:ascii="Aptos" w:cs="Aptos" w:eastAsia="Aptos" w:hAnsi="Aptos"/><w:b w:val="false"/><w:bCs w:val="false"/><w:i w:val="false"/><w:iCs w:val="false"/><w:sz w:val="24"/><w:szCs w:val="24"/></w:rPr><w:t xml:space="preserve"> = fill in   ·   </w:t></w:r><w:r><w:rPr><w:rFonts w:ascii="Aptos" w:cs="Aptos" w:eastAsia="Aptos" w:hAnsi="Aptos"/><w:b/><w:bCs/><w:i w:val="false"/><w:iCs w:val="false"/><w:sz w:val="24"/><w:szCs w:val="24"/></w:rPr><w:t xml:space="preserve">[REQUIRED]</w:t></w:r><w:r><w:rPr><w:rFonts w:ascii="Aptos" w:cs="Aptos" w:eastAsia="Aptos" w:hAnsi="Aptos"/><w:b w:val="false"/><w:bCs w:val="false"/><w:i w:val="false"/><w:iCs w:val="false"/><w:sz w:val="24"/><w:szCs w:val="24"/></w:rPr><w:t xml:space="preserve"> (bold) = required field   ·   </w:t></w:r><w:r><w:rPr><w:rFonts w:ascii="Aptos" w:cs="Aptos" w:eastAsia="Aptos" w:hAnsi="Aptos"/><w:b w:val="false"/><w:bCs w:val="false"/><w:i/><w:iCs/><w:color w:val="595959"/><w:sz w:val="24"/><w:szCs w:val="24"/></w:rPr><w:t xml:space="preserve">« »</w:t></w:r><w:r><w:rPr><w:rFonts w:ascii="Aptos" w:cs="Aptos" w:eastAsia="Aptos" w:hAnsi="Aptos"/><w:b w:val="false"/><w:bCs w:val="false"/><w:i w:val="false"/><w:iCs w:val="false"/><w:sz w:val="24"/><w:szCs w:val="24"/></w:rPr><w:t xml:space="preserve"> = guidance to delete.</w:t></w:r></w:p><w:p><w:pPr><w:spacing w:after="140"/></w:pPr><w:r><w:rPr><w:rFonts w:ascii="Aptos" w:cs="Aptos" w:eastAsia="Aptos" w:hAnsi="Aptos"/><w:i/><w:iCs/><w:color w:val="595959"/><w:sz w:val="24"/><w:szCs w:val="24"/></w:rPr><w:t xml:space="preserve">Keep the body director-readable. Push technical detail and contact lists to an appendix. Source Authority, approval signatures, and revision history stay at the foot of the document.</w:t></w:r></w:p></w:tc></w:tr></w:tbl><w:p><w:pPr><w:pStyle w:val="Heading2"/><w:spacing w:after="100" w:before="220"/></w:pPr><w:r><w:rPr><w:rFonts w:ascii="Aptos" w:cs="Aptos" w:eastAsia="Aptos" w:hAnsi="Aptos"/><w:b/><w:bCs/><w:color w:val="1B3A5C"/><w:sz w:val="26"/><w:szCs w:val="26"/></w:rPr><w:t xml:space="preserve">1. Purpose and Scope</w:t></w:r></w:p><w:p><w:pPr><w:spacing w:after="140"/></w:pPr><w:r><w:rPr><w:rFonts w:ascii="Aptos" w:cs="Aptos" w:eastAsia="Aptos" w:hAnsi="Aptos"/><w:i/><w:iCs/><w:color w:val="595959"/><w:sz w:val="24"/><w:szCs w:val="24"/></w:rPr><w:t>«This record documents the approved baseline, the configuration that should be true, for each system type. The as-built state and any drift from this baseline are recorded in the Configuration Drift Detection Records.»</w:t></w:r></w:p><w:p><w:pPr><w:spacing w:after="120" w:before="0"/></w:pPr><w:r><w:rPr><w:rFonts w:ascii="Aptos" w:cs="Aptos" w:eastAsia="Aptos" w:hAnsi="Aptos"/><w:b w:val="false"/><w:bCs w:val="false"/><w:i w:val="false"/><w:iCs w:val="false"/><w:sz w:val="24"/><w:szCs w:val="24"/></w:rPr><w:t>This record documents [Agency Name]'s approved secure configuration baselines for each type of system it operates: workstations, servers, network devices, telephony and CAD appliances, and Session Border Controller (SBC) consoles. For each, it records the approved settings (password rules, open and closed ports, logging, lockout) and any deliberate deviation from vendor default. It implements the Change Management Policy, all baseline changes run through that policy, and it is the baseline the Configuration Drift Detection Records check against.</w:t></w:r></w:p><w:p><w:pPr><w:pStyle w:val="Heading2"/><w:spacing w:after="100" w:before="220"/></w:pPr><w:r><w:rPr><w:rFonts w:ascii="Aptos" w:cs="Aptos" w:eastAsia="Aptos" w:hAnsi="Aptos"/><w:b/><w:bCs/><w:color w:val="1B3A5C"/><w:sz w:val="26"/><w:szCs w:val="26"/></w:rPr><w:t>2. Systems in Scope</w:t></w:r></w:p><w:p><w:pPr><w:spacing w:after="140"/></w:pPr><w:r><w:rPr><w:rFonts w:ascii="Aptos" w:cs="Aptos" w:eastAsia="Aptos" w:hAnsi="Aptos"/><w:i/><w:iCs/><w:color w:val="595959"/><w:sz w:val="24"/><w:szCs w:val="24"/></w:rPr><w:t>«List the system types this baseline set covers. Tie each to the Master Asset Inventory.»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rPr><w:tblHeader/></w:trPr><w:tc><w:tcPr><w:tcW w:type="dxa" w:w="30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System type</w:t></w:r></w:p></w:tc><w:tc><w:tcPr><w:tcW w:type="dxa" w:w="63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Scope and examples</w:t></w: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Workstations</w:t></w:r></w:p></w:tc><w:tc><w:tcPr><w:tcW w:type="dxa" w:w="63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Dispatch and administrative workstations</w:t></w: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Servers</w:t></w:r></w:p></w:tc><w:tc><w:tcPr><w:tcW w:type="dxa" w:w="63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CAD, mapping, and back-end servers</w:t></w: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Network devices</w:t></w:r></w:p></w:tc><w:tc><w:tcPr><w:tcW w:type="dxa" w:w="63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Switches, routers, firewalls</w:t></w: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Telephony / CAD appliances</w:t></w:r></w:p></w:tc><w:tc><w:tcPr><w:tcW w:type="dxa" w:w="63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Call-handling and CAD appliances</w:t></w: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SBC consoles</w:t></w:r></w:p></w:tc><w:tc><w:tcPr><w:tcW w:type="dxa" w:w="63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Session Border Controller administration consoles</w:t></w:r></w:p></w:tc></w:tr></w:tbl><w:p><w:pPr><w:pStyle w:val="Heading2"/><w:spacing w:after="100" w:before="220"/></w:pPr><w:r><w:rPr><w:rFonts w:ascii="Aptos" w:cs="Aptos" w:eastAsia="Aptos" w:hAnsi="Aptos"/><w:b/><w:bCs/><w:color w:val="1B3A5C"/><w:sz w:val="26"/><w:szCs w:val="26"/></w:rPr><w:t>3. Approved Baseline Settings (per system type)</w:t></w:r></w:p><w:p><w:pPr><w:spacing w:after="140"/></w:pPr><w:r><w:rPr><w:rFonts w:ascii="Aptos" w:cs="Aptos" w:eastAsia="Aptos" w:hAnsi="Aptos"/><w:i/><w:iCs/><w:color w:val="595959"/><w:sz w:val="24"/><w:szCs w:val="24"/></w:rPr><w:t>«One row per setting, grouped by system type. Record the approved value and whether it deliberately deviates from the vendor default. Add rows as needed.»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2200"/><w:gridCol w:w="1560"/><w:gridCol w:w="1800"/><w:gridCol w:w="1400"/></w:tblGrid><w:tr><w:trPr><w:tblHeader/></w:trPr><w:tc><w:tcPr><w:tcW w:type="dxa" w:w="24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System type</w:t></w:r></w:p></w:tc><w:tc><w:tcPr><w:tcW w:type="dxa" w:w="22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Setting</w:t></w:r></w:p></w:tc><w:tc><w:tcPr><w:tcW w:type="dxa" w:w="15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Approved value</w:t></w:r></w:p></w:tc><w:tc><w:tcPr><w:tcW w:type="dxa" w:w="18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Deviation from vendor default?</w:t></w:r></w:p></w:tc><w:tc><w:tcPr><w:tcW w:type="dxa" w:w="14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Notes</w:t></w:r></w:p></w:tc></w:tr><w:tr><w:tc><w:tcPr><w:tcW w:type="dxa" w:w="2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Workstations</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[setting, e.g., password rules]</w:t></w:r></w:p></w:tc><w:tc><w:tcPr><w:tcW w:type="dxa" w:w="15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[Approved Value]</w:t></w:r></w:p></w:tc><w:tc><w:tcPr><w:tcW w:type="dxa" w:w="18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[Y / N]</w:t></w: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[Notes]</w:t></w:r></w:p></w:tc></w:tr><w:tr><w:tc><w:tcPr><w:tcW w:type="dxa" w:w="2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Servers</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[setting, e.g., open/closed ports]</w:t></w:r></w:p></w:tc><w:tc><w:tcPr><w:tcW w:type="dxa" w:w="15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[Approved Value2]</w:t></w:r></w:p></w:tc><w:tc><w:tcPr><w:tcW w:type="dxa" w:w="18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[Y / N 2]</w:t></w: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[Notes 2]</w:t></w:r></w:p></w:tc></w:tr><w:tr><w:tc><w:tcPr><w:tcW w:type="dxa" w:w="2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Network devices</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[setting, e.g., logging]</w:t></w:r></w:p></w:tc><w:tc><w:tcPr><w:tcW w:type="dxa" w:w="15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[Approved Value3]</w:t></w:r></w:p></w:tc><w:tc><w:tcPr><w:tcW w:type="dxa" w:w="18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[Y / N 3]</w:t></w: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[Notes 3]</w:t></w:r></w:p></w:tc></w:tr><w:tr><w:tc><w:tcPr><w:tcW w:type="dxa" w:w="2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Telephony / CAD appliances</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[Setting]</w:t></w:r></w:p></w:tc><w:tc><w:tcPr><w:tcW w:type="dxa" w:w="15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[Approved Value4]</w:t></w:r></w:p></w:tc><w:tc><w:tcPr><w:tcW w:type="dxa" w:w="18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[Y / N 4]</w:t></w: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[Notes 4]</w:t></w:r></w:p></w:tc></w:tr><w:tr><w:tc><w:tcPr><w:tcW w:type="dxa" w:w="2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SBC consoles</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[Account Lockout]</w:t></w:r></w:p></w:tc><w:tc><w:tcPr><w:tcW w:type="dxa" w:w="15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[Approved Value5]</w:t></w:r></w:p></w:tc><w:tc><w:tcPr><w:tcW w:type="dxa" w:w="18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[Y / N 5]</w:t></w: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[Notes 5]</w:t></w:r></w:p></w:tc></w:tr></w:tbl><w:p><w:pPr><w:pStyle w:val="Heading2"/><w:spacing w:after="100" w:before="220"/></w:pPr><w:r><w:rPr><w:rFonts w:ascii="Aptos" w:cs="Aptos" w:eastAsia="Aptos" w:hAnsi="Aptos"/><w:b/><w:bCs/><w:color w:val="1B3A5C"/><w:sz w:val="26"/><w:szCs w:val="26"/></w:rPr><w:t>4. Network Zones and ACLs</w:t></w:r></w:p><w:p><w:pPr><w:spacing w:after="140"/></w:pPr><w:r><w:rPr><w:rFonts w:ascii="Aptos" w:cs="Aptos" w:eastAsia="Aptos" w:hAnsi="Aptos"/><w:i/><w:iCs/><w:color w:val="595959"/><w:sz w:val="24"/><w:szCs w:val="24"/></w:rPr><w:t>«Document the network zones, VLANs, and firewall/ACL rules that are part of the baseline and change-controlled (assessment 5A-5).»</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2200"/><w:gridCol w:w="1560"/><w:gridCol w:w="1800"/><w:gridCol w:w="1400"/></w:tblGrid><w:tr><w:trPr><w:tblHeader/></w:trPr><w:tc><w:tcPr><w:tcW w:type="dxa" w:w="24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Zone / segment</w:t></w:r></w:p></w:tc><w:tc><w:tcPr><w:tcW w:type="dxa" w:w="22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Purpose</w:t></w:r></w:p></w:tc><w:tc><w:tcPr><w:tcW w:type="dxa" w:w="15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Allowed traffic / ACL summary</w:t></w:r></w:p></w:tc><w:tc><w:tcPr><w:tcW w:type="dxa" w:w="18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Change-control reference</w:t></w:r></w:p></w:tc><w:tc><w:tcPr><w:tcW w:type="dxa" w:w="14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Notes</w:t></w:r></w:p></w:tc></w:tr><w:tr><w:tc><w:tcPr><w:tcW w:type="dxa" w:w="2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[zone, e.g., dispatch VLAN]</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[Purpose]</w:t></w:r></w:p></w:tc><w:tc><w:tcPr><w:tcW w:type="dxa" w:w="15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[Allowed Traffic / ACL Summary]</w:t></w:r></w:p></w:tc><w:tc><w:tcPr><w:tcW w:type="dxa" w:w="18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[Change Reference]</w:t></w: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[Notes 6]</w:t></w:r></w:p></w:tc></w:tr><w:tr><w:tc><w:tcPr><w:tcW w:type="dxa" w:w="2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[Zone]</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[Purpose2]</w:t></w:r></w:p></w:tc><w:tc><w:tcPr><w:tcW w:type="dxa" w:w="15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[Allowed Traffic / ACL Summary 2]</w:t></w:r></w:p></w:tc><w:tc><w:tcPr><w:tcW w:type="dxa" w:w="18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[Change Reference 2]</w:t></w: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[Notes 7]</w:t></w:r></w:p></w:tc></w:tr><w:tr><w:tc><w:tcPr><w:tcW w:type="dxa" w:w="2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[Zone2]</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[Purpose3]</w:t></w:r></w:p></w:tc><w:tc><w:tcPr><w:tcW w:type="dxa" w:w="15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[Allowed Traffic / ACL Summary 3]</w:t></w:r></w:p></w:tc><w:tc><w:tcPr><w:tcW w:type="dxa" w:w="18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[Change Reference 3]</w:t></w: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[Notes 8]</w:t></w:r></w:p></w:tc></w:tr></w:tbl><w:p><w:pPr><w:pStyle w:val="Heading2"/><w:spacing w:after="100" w:before="220"/></w:pPr><w:r><w:rPr><w:rFonts w:ascii="Aptos" w:cs="Aptos" w:eastAsia="Aptos" w:hAnsi="Aptos"/><w:b/><w:bCs/><w:color w:val="1B3A5C"/><w:sz w:val="26"/><w:szCs w:val="26"/></w:rPr><w:t xml:space="preserve">5. Validation and Review</w:t></w:r></w:p><w:p><w:pPr><w:spacing w:after="140"/></w:pPr><w:r><w:rPr><w:rFonts w:ascii="Aptos" w:cs="Aptos" w:eastAsia="Aptos" w:hAnsi="Aptos"/><w:i/><w:iCs/><w:color w:val="595959"/><w:sz w:val="24"/><w:szCs w:val="24"/></w:rPr><w:t xml:space="preserve">«How and how often the as-built state is checked against the approved baseline, and who does it. Each change is recorded in the Change History below.»</w:t></w:r></w:p><w:p><w:pPr><w:spacing w:after="120" w:before="0"/></w:pPr><w:r><w:rPr><w:rFonts w:ascii="Aptos" w:cs="Aptos" w:eastAsia="Aptos" w:hAnsi="Aptos"/><w:b w:val="false"/><w:bCs w:val="false"/><w:i w:val="false"/><w:iCs w:val="false"/><w:sz w:val="24"/><w:szCs w:val="24"/></w:rPr><w:t>The approved baselines are validated against the as-built state through the Configuration Drift Detection Records, at least [Weekly / Monthly / Quarterly / Annually] and after any change, by the [Owner Role]. Every change to a baseline runs through the Change Management Policy and is recorded in the Change History below.</w:t></w:r></w:p><w:p><w:pPr><w:pStyle w:val="Heading2"/><w:spacing w:after="100" w:before="220"/></w:pPr><w:r><w:rPr><w:rFonts w:ascii="Aptos" w:cs="Aptos" w:eastAsia="Aptos" w:hAnsi="Aptos"/><w:b/><w:bCs/><w:color w:val="1B3A5C"/><w:sz w:val="26"/><w:szCs w:val="26"/></w:rPr><w:t xml:space="preserve">Profile Scaling Notes</w:t></w:r></w:p><w:p><w:pPr><w:spacing w:after="140"/></w:pPr><w:r><w:rPr><w:rFonts w:ascii="Aptos" w:cs="Aptos" w:eastAsia="Aptos" w:hAnsi="Aptos"/><w:i/><w:iCs/><w:color w:val="595959"/><w:sz w:val="24"/><w:szCs w:val="24"/></w:rPr><w:t xml:space="preserve">One short paragraph per profile: what minimum-viable looks like for that reader and where to scale up. Keep all three if this ships as a template; delete the profiles that do not apply once adopted.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rPr><w:tblHeader/></w:trPr><w:tc><w:tcPr><w:tcW w:type="dxa" w:w="32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PSAP Profile</w:t></w:r></w:p></w:tc><w:tc><w:tcPr><w:tcW w:type="dxa" w:w="61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Minimum-viable implementation</w:t></w:r></w:p></w:tc></w:tr><w:tr><w:tc><w:tcPr><w:tcW w:type="dxa" w:w="3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Small (1–5 dispatchers, no in-house IT)</w:t></w:r></w:p></w:tc><w:tc><w:tcPr><w:tcW w:type="dxa" w:w="61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A handful of baselines kept as written documents: one for workstations, one for servers, one for the network and telephony gear. County or vendor IT sets them from vendor hardening guides and the director keeps them current.</w:t></w:r></w:p></w:tc></w:tr><w:tr><w:tc><w:tcPr><w:tcW w:type="dxa" w:w="3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Medium (6–25, shared county IT)</w:t></w:r></w:p></w:tc><w:tc><w:tcPr><w:tcW w:type="dxa" w:w="61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County IT maintains a baseline per system type and pushes settings where it can (for example, Group Policy for workstations). Baselines are reviewed on a set cycle and after major changes.</w:t></w:r></w:p></w:tc></w:tr><w:tr><w:tc><w:tcPr><w:tcW w:type="dxa" w:w="3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Large (25+, dedicated IT/security)</w:t></w:r></w:p></w:tc><w:tc><w:tcPr><w:tcW w:type="dxa" w:w="61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Baselines are managed through a configuration-management tool, version-controlled and enforced automatically, with drift surfaced through the drift records.</w:t></w:r></w:p></w:tc></w:tr></w:tbl><w:p><w:pPr><w:spacing w:after="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FBFBF" w:sz="4"/><w:left w:val="single" w:color="BFBFBF" w:sz="4"/><w:bottom w:val="single" w:color="BFBFBF" w:sz="4"/><w:right w:val="single" w:color="BFBFBF" w:sz="4"/></w:tcBorders><w:shd w:fill="EEF2F7" w:val="clear"/><w:tcMar><w:top w:type="dxa" w:w="80"/><w:left w:type="dxa" w:w="120"/><w:bottom w:type="dxa" w:w="80"/><w:right w:type="dxa" w:w="120"/></w:tcMar></w:tcPr><w:p><w:pPr><w:spacing w:after="60"/></w:pPr><w:r><w:rPr><w:rFonts w:ascii="Aptos" w:cs="Aptos" w:eastAsia="Aptos" w:hAnsi="Aptos"/><w:b/><w:bCs/><w:i w:val="false"/><w:iCs w:val="false"/><w:color w:val="1B3A5C"/><w:sz w:val="24"/><w:szCs w:val="24"/></w:rPr><w:t xml:space="preserve">Source Authority</w:t></w:r></w:p><w:p><w:pPr><w:spacing w:after="140"/></w:pPr><w:r><w:rPr><w:rFonts w:ascii="Aptos" w:cs="Aptos" w:eastAsia="Aptos" w:hAnsi="Aptos"/><w:i/><w:iCs/><w:color w:val="595959"/><w:sz w:val="24"/><w:szCs w:val="24"/></w:rPr><w:t xml:space="preserve">List only the authorities that map to content in this artifact. Group by authority; order sections and control IDs numerically. No padding. Replace the lines below with the citations that actually apply.</w:t></w:r></w:p><w:p><w:pPr><w:spacing w:after="40" w:before="0"/></w:pPr><w:r><w:rPr><w:rFonts w:ascii="Aptos" w:cs="Aptos" w:eastAsia="Aptos" w:hAnsi="Aptos"/><w:b w:val="false"/><w:bCs w:val="false"/><w:i w:val="false"/><w:iCs w:val="false"/><w:sz w:val="24"/><w:szCs w:val="24"/></w:rPr><w:t>NENA-STA-040.2-2024: §6.2.5, §6.9, §6.10.2, §6.19</w:t></w:r></w:p><w:p><w:pPr><w:spacing w:after="40" w:before="0"/></w:pPr><w:r><w:rPr><w:rFonts w:ascii="Aptos" w:cs="Aptos" w:eastAsia="Aptos" w:hAnsi="Aptos"/><w:b w:val="false"/><w:bCs w:val="false"/><w:i w:val="false"/><w:iCs w:val="false"/><w:sz w:val="24"/><w:szCs w:val="24"/></w:rPr><w:t>NIST SP 800-53 Rev. 5: AC-7, CM-2, CM-6, CM-7, IA-5, SC-7</w:t></w:r></w:p></w:tc></w:tr></w:tbl><w:p><w:pPr><w:pStyle w:val="Heading2"/><w:spacing w:after="100" w:before="220"/></w:pPr><w:r><w:rPr><w:rFonts w:ascii="Aptos" w:cs="Aptos" w:eastAsia="Aptos" w:hAnsi="Aptos"/><w:b/><w:bCs/><w:color w:val="1B3A5C"/><w:sz w:val="26"/><w:szCs w:val="26"/></w:rPr><w:t xml:space="preserve">Approval Signatures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2360"/><w:gridCol w:w="2600"/><w:gridCol w:w="1400"/></w:tblGrid><w:tr><w:trPr><w:tblHeader/></w:trPr><w:tc><w:tcPr><w:tcW w:type="dxa" w:w="30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Role</w:t></w:r></w:p></w:tc><w:tc><w:tcPr><w:tcW w:type="dxa" w:w="23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Name</w:t></w:r></w:p></w:tc><w:tc><w:tcPr><w:tcW w:type="dxa" w:w="26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Signature</w:t></w:r></w:p></w:tc><w:tc><w:tcPr><w:tcW w:type="dxa" w:w="14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Date</w:t></w: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[System Owner (role)]</w:t></w:r></w:p></w:tc><w:tc><w:tcPr><w:tcW w:type="dxa" w:w="2360"/><w:tcBorders><w:top w:val="single" w:color="BFBFBF" w:sz="4"/><w:left w:val="single" w:color="BFBFBF" w:sz="4"/><w:bottom w:val="single" w:color="BFBFBF" w:sz="4"/><w:right w:val="single" w:color="BFBFBF" w:sz="4"/></w:tcBorders><w:tcMar><w:top w:type="dxa" w:w="80"/><w:left w:type="dxa" w:w="120"/><w:bottom w:type="dxa" w:w="80"/><w:right w:type="dxa" w:w="120"/></w:tcMar></w:tcPr><w:p/></w:tc><w:tc><w:tcPr><w:tcW w:type="dxa" w:w="2600"/><w:tcBorders><w:top w:val="single" w:color="BFBFBF" w:sz="4"/><w:left w:val="single" w:color="BFBFBF" w:sz="4"/><w:bottom w:val="single" w:color="BFBFBF" w:sz="4"/><w:right w:val="single" w:color="BFBFBF" w:sz="4"/></w:tcBorders><w:tcMar><w:top w:type="dxa" w:w="80"/><w:left w:type="dxa" w:w="120"/><w:bottom w:type="dxa" w:w="80"/><w:right w:type="dxa" w:w="120"/></w:tcMar></w:tcP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[Security Reviewer (role)]</w:t></w:r></w:p></w:tc><w:tc><w:tcPr><w:tcW w:type="dxa" w:w="2360"/><w:tcBorders><w:top w:val="single" w:color="BFBFBF" w:sz="4"/><w:left w:val="single" w:color="BFBFBF" w:sz="4"/><w:bottom w:val="single" w:color="BFBFBF" w:sz="4"/><w:right w:val="single" w:color="BFBFBF" w:sz="4"/></w:tcBorders><w:tcMar><w:top w:type="dxa" w:w="80"/><w:left w:type="dxa" w:w="120"/><w:bottom w:type="dxa" w:w="80"/><w:right w:type="dxa" w:w="120"/></w:tcMar></w:tcPr><w:p/></w:tc><w:tc><w:tcPr><w:tcW w:type="dxa" w:w="2600"/><w:tcBorders><w:top w:val="single" w:color="BFBFBF" w:sz="4"/><w:left w:val="single" w:color="BFBFBF" w:sz="4"/><w:bottom w:val="single" w:color="BFBFBF" w:sz="4"/><w:right w:val="single" w:color="BFBFBF" w:sz="4"/></w:tcBorders><w:tcMar><w:top w:type="dxa" w:w="80"/><w:left w:type="dxa" w:w="120"/><w:bottom w:type="dxa" w:w="80"/><w:right w:type="dxa" w:w="120"/></w:tcMar></w:tcP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tc></w:tr></w:tbl><w:p><w:pPr><w:pStyle w:val="Heading2"/><w:spacing w:after="100" w:before="220"/></w:pPr><w:r><w:rPr><w:rFonts w:ascii="Aptos" w:cs="Aptos" w:eastAsia="Aptos" w:hAnsi="Aptos"/><w:b/><w:bCs/><w:color w:val="1B3A5C"/><w:sz w:val="26"/><w:szCs w:val="26"/></w:rPr><w:t xml:space="preserve">Change History</w:t></w:r></w:p><w:p><w:pPr><w:spacing w:after="140"/></w:pPr><w:r><w:rPr><w:rFonts w:ascii="Aptos" w:cs="Aptos" w:eastAsia="Aptos" w:hAnsi="Aptos"/><w:i/><w:iCs/><w:color w:val="595959"/><w:sz w:val="24"/><w:szCs w:val="24"/></w:rPr><w:t xml:space="preserve">«This table is the Configuration Record’s required change-history element. Add one row per configuration change.»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300"/><w:gridCol w:w="1600"/><w:gridCol w:w="2200"/><w:gridCol w:w="4260"/></w:tblGrid><w:tr><w:trPr><w:tblHeader/></w:trPr><w:tc><w:tcPr><w:tcW w:type="dxa" w:w="13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Version</w:t></w:r></w:p></w:tc><w:tc><w:tcPr><w:tcW w:type="dxa" w:w="16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Date</w:t></w:r></w:p></w:tc><w:tc><w:tcPr><w:tcW w:type="dxa" w:w="22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Author</w:t></w:r></w:p></w:tc><w:tc><w:tcPr><w:tcW w:type="dxa" w:w="42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Summary of Change</w:t></w:r></w:p></w:tc></w:tr><w:tr><w:tc><w:tcPr><w:tcW w:type="dxa" w:w="13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[Version]</w:t></w:r></w:p></w:tc><w:tc><w:tcPr><w:tcW w:type="dxa" w:w="16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[Effective Date]</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[Reviewer Role]</w:t></w:r></w:p></w:tc><w:tc><w:tcPr><w:tcW w:type="dxa" w:w="42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[Initial Revision Note]</w:t></w:r></w:p></w:tc></w:tr></w:tbl><w:p><w:pPr><w:spacing w:after="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FBFBF" w:sz="4"/><w:left w:val="single" w:color="BFBFBF" w:sz="4"/><w:bottom w:val="single" w:color="BFBFBF" w:sz="4"/><w:right w:val="single" w:color="BFBFBF" w:sz="4"/></w:tcBorders><w:shd w:fill="F4F1E8" w:val="clear"/><w:tcMar><w:top w:type="dxa" w:w="80"/><w:left w:type="dxa" w:w="120"/><w:bottom w:type="dxa" w:w="80"/><w:right w:type="dxa" w:w="120"/></w:tcMar></w:tcPr><w:p><w:pPr><w:spacing w:after="60"/></w:pPr><w:r><w:rPr><w:rFonts w:ascii="Aptos" w:cs="Aptos" w:eastAsia="Aptos" w:hAnsi="Aptos"/><w:b/><w:bCs/><w:i w:val="false"/><w:iCs w:val="false"/><w:color w:val="1B3A5C"/><w:sz w:val="24"/><w:szCs w:val="24"/></w:rPr><w:t xml:space="preserve">Drafter’s note </w:t></w:r><w:r><w:rPr><w:rFonts w:ascii="Aptos" w:cs="Aptos" w:eastAsia="Aptos" w:hAnsi="Aptos"/><w:b w:val="false"/><w:bCs w:val="false"/><w:i/><w:iCs/><w:color w:val="595959"/><w:sz w:val="24"/><w:szCs w:val="24"/></w:rPr><w:t xml:space="preserve">(internal, delete before publishing)</w:t></w:r></w:p><w:p><w:pPr><w:spacing w:after="140"/></w:pPr><w:r><w:rPr><w:rFonts w:ascii="Aptos" w:cs="Aptos" w:eastAsia="Aptos" w:hAnsi="Aptos"/><w:i/><w:iCs/><w:color w:val="595959"/><w:sz w:val="24"/><w:szCs w:val="24"/></w:rPr><w:t>Documents the approved baseline (the should-be) per system type; the as-built state and drift live in the Configuration Drift Detection Records. SBC consoles are carried as a system type with account-lockout settings (assessment 2E-3). Confirm before finalizing: (1) the system types in scope for this agency; (2) the [Owner Role 2] and validation cadence. No CJIS overlay: CJIS-regulated systems are maintained by the State outside PSAP scope. Cross-referenced artifacts use Tracker names: Change Management Policy, Configuration Drift Detection Records, Master Asset Inventory, Network Segmentation Design Document.</w:t></w:r></w:p></w:tc></w:tr></w:tbl><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2026-06-01T15:29:11.476Z</dcterms:created>
  <dcterms:modified xsi:type="dcterms:W3CDTF">2026-06-01T15:29:11.476Z</dcterms:modified>
</cp:coreProperties>
</file>

<file path=docProps/custom.xml><?xml version="1.0" encoding="utf-8"?>
<Properties xmlns="http://schemas.openxmlformats.org/officeDocument/2006/custom-properties" xmlns:vt="http://schemas.openxmlformats.org/officeDocument/2006/docPropsVTypes"/>
</file>