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Server Room / Equipment Area Hardening Assessment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[Effective Date]  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Assessor (role):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[Reviewer Role]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Agency's server rooms and equipment areas, including cabling, equipment, and displays. Assessment period: [Reporting Period]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[Reviewer Role 2]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Report / Assessment artifacts. Raise to Confidential if the report names individuals as subjects.»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«Three or four sentences a director can act on: what was assessed, the headline result, the most important finding. Write this last.»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[Executive summary.]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Hardening Requirements Conformance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«One row per requirement area in the Physical Security Hardening Standard. Mark each Conforms, Gap, or N/A, and note the constraint behind any gap.»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Requirement area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What good looks like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Conformance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Notes / gap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Placement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Sensitive systems in restricted, climate-controlled rooms matched to classification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Cabling &amp; conduit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Locked, labeled, restricted-zone cabling; inspected for tampering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 2]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 2]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locking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in locked racks or cabinets; keys limited to authorized staff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 3]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 3]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Display protection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Privacy filters and automatic screen lock on dispatch and call-taker displays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[Conforms / Gap / N/A 4]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[Notes 4]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Findings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finding. Use a consistent severity scale. Keep the recommendation specific.»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[Finding]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[High / Med / Low]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[Recommendation]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[Finding 2]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[High / Med / Low 2]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[Recommendation 2]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findings as needed.]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Remediation Tracking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finding’s owner, action, due date, and status. Mirror open items into the Risk / Finding Register (POA&amp;M); do not maintain two trackers.»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[Reviewer Role 3]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[Action]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[Effective Date]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 / In progress / Closed]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[Reviewer Role 4]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[Action 2]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[Effective Date]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[Open / In progress / Closed 2]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Shared-Space / Co-location Risk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«Complete only where Agency equipment shares space with other agencies or departments. State the risk and the compensating control for each.»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Co-located equipment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Shared with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Compensating control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[Equipment]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[Other Agency Department]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[Risk From Co Location]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[Compensating Control]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[Equipment2]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[Other Agency Department2]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[Risk From Co Location2]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[Compensating Control2]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director walks the equipment room once a year with the hardening standard in hand, notes any gap, and records a compensating control where a shared space cannot be fixed. The assessment is short and on paper.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and the security coordinator assess the equipment areas against the standard on a set cycle, log gaps as findings, and track them to closure in the finding register.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Facilities or IT runs a scheduled formal assessment across both centers, with findings, severity, and remediation tracked as part of the security program.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§5.2, §6.1.1, §6.1.4, §6.1.5, §6.7.2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PE-3, PE-4, PE-5, PE-14, PE-18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[Assessor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[Version]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[Effective 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[Reviewer Role 5]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Revision Note]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Assesses against the Physical Security Hardening Standard (A-074): the conformance table walks that standard's four requirement areas. Confirm before finalizing: (1) the assessor role and assessment cadence; (2) whether environmental-hazard findings (fire, flood, temperature, utility) should cross-reference the Risk Assessment Report and Risk Register per question 10E-1. No CJIS overlay. Cross-referenced artifacts use Tracker names: Physical Security Hardening Standard, Risk / Finding Register (POA&amp;M), Risk Assessment Report, Risk Register.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