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40"/>
        <w:jc w:val="center"/>
      </w:pPr>
      <w:r>
        <w:rPr>
          <w:rFonts w:ascii="Aptos Display" w:hAnsi="Aptos Display"/>
          <w:b/>
          <w:color w:val="2F6459"/>
          <w:sz w:val="52"/>
        </w:rPr>
        <w:t>MANUAL DEL EVALUADOR</w:t>
      </w:r>
    </w:p>
    <w:p>
      <w:pPr>
        <w:jc w:val="center"/>
      </w:pPr>
      <w:r>
        <w:rPr>
          <w:b/>
          <w:sz w:val="34"/>
        </w:rPr>
        <w:t>K-BIT Protocolo Cognitivo v0.7</w:t>
      </w:r>
    </w:p>
    <w:p>
      <w:pPr>
        <w:jc w:val="center"/>
      </w:pPr>
      <w:r>
        <w:rPr>
          <w:color w:val="5B6864"/>
          <w:sz w:val="26"/>
        </w:rPr>
        <w:t>Administración protocolizada paso a paso</w:t>
      </w:r>
    </w:p>
    <w:p/>
    <w:tbl>
      <w:tblPr>
        <w:tblW w:type="auto" w:w="0"/>
        <w:jc w:val="center"/>
        <w:tblLayout w:type="autofit"/>
        <w:tblLook w:firstColumn="1" w:firstRow="1" w:lastColumn="0" w:lastRow="0" w:noHBand="0" w:noVBand="1" w:val="04A0"/>
      </w:tblPr>
      <w:tblGrid>
        <w:gridCol w:w="10166"/>
      </w:tblGrid>
      <w:tr>
        <w:tc>
          <w:tcPr>
            <w:tcW w:type="dxa" w:w="10166"/>
            <w:shd w:fill="FFF7E6"/>
            <w:tcMar>
              <w:top w:w="120" w:type="dxa"/>
              <w:start w:w="140" w:type="dxa"/>
              <w:bottom w:w="120" w:type="dxa"/>
              <w:end w:w="140" w:type="dxa"/>
            </w:tcMar>
          </w:tcPr>
          <w:p>
            <w:r>
              <w:rPr>
                <w:b/>
                <w:color w:val="7B5A23"/>
              </w:rPr>
              <w:t xml:space="preserve">Control de versión. </w:t>
            </w:r>
            <w:r>
              <w:t>Este documento corresponde al K-BIT clásico en adaptación española, 2.ª edición (2000). No debe mezclarse con KBIT-2 ni KBIT-2 Revised. Ante cualquier discrepancia, prevalece el manual profesional autorizado asociado al kit.</w:t>
            </w:r>
          </w:p>
        </w:tc>
      </w:tr>
    </w:tbl>
    <w:p>
      <w:pPr>
        <w:spacing w:after="0"/>
      </w:pPr>
    </w:p>
    <w:tbl>
      <w:tblPr>
        <w:tblW w:type="auto" w:w="0"/>
        <w:jc w:val="center"/>
        <w:tblLayout w:type="autofit"/>
        <w:tblLook w:firstColumn="1" w:firstRow="1" w:lastColumn="0" w:lastRow="0" w:noHBand="0" w:noVBand="1" w:val="04A0"/>
      </w:tblPr>
      <w:tblGrid>
        <w:gridCol w:w="10166"/>
      </w:tblGrid>
      <w:tr>
        <w:tc>
          <w:tcPr>
            <w:tcW w:type="dxa" w:w="10166"/>
            <w:shd w:fill="EAF3EF"/>
            <w:tcMar>
              <w:top w:w="120" w:type="dxa"/>
              <w:start w:w="140" w:type="dxa"/>
              <w:bottom w:w="120" w:type="dxa"/>
              <w:end w:w="140" w:type="dxa"/>
            </w:tcMar>
          </w:tcPr>
          <w:p>
            <w:r>
              <w:rPr>
                <w:b/>
                <w:color w:val="2F6459"/>
              </w:rPr>
              <w:t xml:space="preserve">Cobertura visual completa. </w:t>
            </w:r>
            <w:r>
              <w:t>La aplicación dispone de 45/45 estímulos de Vocabulario expresivo, 37/37 de Definiciones y 48/48 de Matrices. VE-2, VE-3 y DEF-27 utilizan estímulos sustitutivos generados, aprobados e identificados para trazabilidad; no quedan huecos visuales en la secuencia.</w:t>
            </w:r>
          </w:p>
        </w:tc>
      </w:tr>
    </w:tbl>
    <w:p>
      <w:pPr>
        <w:spacing w:after="0"/>
      </w:pPr>
    </w:p>
    <w:p>
      <w:pPr>
        <w:spacing w:before="720"/>
        <w:jc w:val="center"/>
      </w:pPr>
      <w:r>
        <w:rPr>
          <w:color w:val="5B6864"/>
          <w:sz w:val="20"/>
        </w:rPr>
        <w:t>31 de agosto de 2026</w:t>
      </w:r>
    </w:p>
    <w:p>
      <w:r>
        <w:br w:type="page"/>
      </w:r>
    </w:p>
    <w:p>
      <w:pPr>
        <w:pStyle w:val="Heading1"/>
      </w:pPr>
      <w:r>
        <w:t>1. Qué hace este manual</w:t>
      </w:r>
    </w:p>
    <w:p>
      <w:r>
        <w:t>Este manual acompaña al evaluador dentro de la aplicación. Su propósito no es describir la prueba de forma general, sino indicar qué verificar, qué presentar, qué registrar y qué decisión esperar en cada etapa de la administración digital. La app automatiza edad, punto de inicio, rutas por edad, primer bloque, retorno, crédito previo, discontinuación por bloques, aprendizaje y cronometraje de Definiciones.</w:t>
      </w:r>
    </w:p>
    <w:tbl>
      <w:tblPr>
        <w:tblW w:type="auto" w:w="0"/>
        <w:jc w:val="center"/>
        <w:tblLayout w:type="autofit"/>
        <w:tblLook w:firstColumn="1" w:firstRow="1" w:lastColumn="0" w:lastRow="0" w:noHBand="0" w:noVBand="1" w:val="04A0"/>
      </w:tblPr>
      <w:tblGrid>
        <w:gridCol w:w="10166"/>
      </w:tblGrid>
      <w:tr>
        <w:tc>
          <w:tcPr>
            <w:tcW w:type="dxa" w:w="10166"/>
            <w:shd w:fill="FFF7E6"/>
            <w:tcMar>
              <w:top w:w="120" w:type="dxa"/>
              <w:start w:w="140" w:type="dxa"/>
              <w:bottom w:w="120" w:type="dxa"/>
              <w:end w:w="140" w:type="dxa"/>
            </w:tcMar>
          </w:tcPr>
          <w:p>
            <w:r>
              <w:rPr>
                <w:b/>
                <w:color w:val="7B5A23"/>
              </w:rPr>
              <w:t xml:space="preserve">Regla de oro. </w:t>
            </w:r>
            <w:r>
              <w:t>No use una basal de “aciertos consecutivos” ni una discontinuación de “fallos consecutivos”. El K-BIT clásico se administra por BLOQUES de 4 o 5 ítems.</w:t>
            </w:r>
          </w:p>
        </w:tc>
      </w:tr>
    </w:tbl>
    <w:p>
      <w:pPr>
        <w:spacing w:after="0"/>
      </w:pPr>
    </w:p>
    <w:p>
      <w:pPr>
        <w:pStyle w:val="Heading1"/>
      </w:pPr>
      <w:r>
        <w:t>2. Ruta rápida de una evaluación</w:t>
      </w:r>
    </w:p>
    <w:p>
      <w:pPr>
        <w:spacing w:after="120"/>
        <w:ind w:left="144"/>
      </w:pPr>
      <w:r>
        <w:rPr>
          <w:b/>
          <w:color w:val="2F6459"/>
        </w:rPr>
        <w:t xml:space="preserve">1. Crear o abrir el caso. </w:t>
      </w:r>
      <w:r>
        <w:t>Registrar datos reales del evaluado; la app mantiene un alias separado para IA.</w:t>
      </w:r>
    </w:p>
    <w:p>
      <w:pPr>
        <w:spacing w:after="120"/>
        <w:ind w:left="144"/>
      </w:pPr>
      <w:r>
        <w:rPr>
          <w:b/>
          <w:color w:val="2F6459"/>
        </w:rPr>
        <w:t xml:space="preserve">2. Verificar edad. </w:t>
      </w:r>
      <w:r>
        <w:t>Introducir fecha de nacimiento y fecha del primer día. La app aplica la resta cronológica con préstamo de 30 días por mes y 12 meses por año.</w:t>
      </w:r>
    </w:p>
    <w:p>
      <w:pPr>
        <w:spacing w:after="120"/>
        <w:ind w:left="144"/>
      </w:pPr>
      <w:r>
        <w:rPr>
          <w:b/>
          <w:color w:val="2F6459"/>
        </w:rPr>
        <w:t xml:space="preserve">3. Contextualizar. </w:t>
      </w:r>
      <w:r>
        <w:t>Elegir contexto (psicológico, educativo, jurídico, laboral, investigación, salud, etc.) y registrar motivo y datos relevantes.</w:t>
      </w:r>
    </w:p>
    <w:p>
      <w:pPr>
        <w:spacing w:after="120"/>
        <w:ind w:left="144"/>
      </w:pPr>
      <w:r>
        <w:rPr>
          <w:b/>
          <w:color w:val="2F6459"/>
        </w:rPr>
        <w:t xml:space="preserve">4. Aplicar Vocabulario expresivo. </w:t>
      </w:r>
      <w:r>
        <w:t>La app muestra el punto de inicio por edad y guía el primer bloque.</w:t>
      </w:r>
    </w:p>
    <w:p>
      <w:pPr>
        <w:spacing w:after="120"/>
        <w:ind w:left="144"/>
      </w:pPr>
      <w:r>
        <w:rPr>
          <w:b/>
          <w:color w:val="2F6459"/>
        </w:rPr>
        <w:t xml:space="preserve">5. Aplicar Definiciones cuando corresponda. </w:t>
      </w:r>
      <w:r>
        <w:t>Desde 8 años; ejemplos A/B y 30 segundos por ítem.</w:t>
      </w:r>
    </w:p>
    <w:p>
      <w:pPr>
        <w:spacing w:after="120"/>
        <w:ind w:left="144"/>
      </w:pPr>
      <w:r>
        <w:rPr>
          <w:b/>
          <w:color w:val="2F6459"/>
        </w:rPr>
        <w:t xml:space="preserve">6. Aplicar Matrices. </w:t>
      </w:r>
      <w:r>
        <w:t>Ejemplo y punto de inicio dependen de edad; desde 11 años la respuesta al ejemplo B define inicio 10 o 15.</w:t>
      </w:r>
    </w:p>
    <w:p>
      <w:pPr>
        <w:spacing w:after="120"/>
        <w:ind w:left="144"/>
      </w:pPr>
      <w:r>
        <w:rPr>
          <w:b/>
          <w:color w:val="2F6459"/>
        </w:rPr>
        <w:t xml:space="preserve">7. Revisar. </w:t>
      </w:r>
      <w:r>
        <w:t>Comprobar ruta, créditos, retorno, tiempos, incidencias y cierre de cada subprueba.</w:t>
      </w:r>
    </w:p>
    <w:p>
      <w:pPr>
        <w:spacing w:after="120"/>
        <w:ind w:left="144"/>
      </w:pPr>
      <w:r>
        <w:rPr>
          <w:b/>
          <w:color w:val="2F6459"/>
        </w:rPr>
        <w:t xml:space="preserve">8. Interpretar e informar. </w:t>
      </w:r>
      <w:r>
        <w:t>Calcular C.1-C.5, revisar perfil y exportar informe técnico, contextual, protocolo y expediente.</w:t>
      </w:r>
    </w:p>
    <w:p>
      <w:pPr>
        <w:pStyle w:val="Heading1"/>
      </w:pPr>
      <w:r>
        <w:t>3. Antes de comenzar: preparación obligatoria</w:t>
      </w:r>
    </w:p>
    <w:p>
      <w:pPr>
        <w:pStyle w:val="ListBullet"/>
      </w:pPr>
      <w:r>
        <w:t>Confirme que el material corresponde al K-BIT clásico español y no a una edición KBIT-2.</w:t>
      </w:r>
    </w:p>
    <w:p>
      <w:pPr>
        <w:pStyle w:val="ListBullet"/>
      </w:pPr>
      <w:r>
        <w:t>Calcule o verifique la edad cronológica con la fecha del primer día de evaluación. La app conserva las fechas y la edad derivada.</w:t>
      </w:r>
    </w:p>
    <w:p>
      <w:pPr>
        <w:pStyle w:val="ListBullet"/>
      </w:pPr>
      <w:r>
        <w:t>Ubique el dispositivo para que el evaluado vea los estímulos con claridad y no pueda ver la clave profesional ni los controles de corrección.</w:t>
      </w:r>
    </w:p>
    <w:p>
      <w:pPr>
        <w:pStyle w:val="ListBullet"/>
      </w:pPr>
      <w:r>
        <w:t>Reduzca distracciones. Registre condiciones clínicas, sensoriales, lingüísticas, emocionales o ambientales que puedan afectar la comparabilidad con los baremos.</w:t>
      </w:r>
    </w:p>
    <w:p>
      <w:pPr>
        <w:pStyle w:val="ListBullet"/>
      </w:pPr>
      <w:r>
        <w:t>En Definiciones, use el cronómetro integrado. El tiempo se activa al presentar el ítem puntuable.</w:t>
      </w:r>
    </w:p>
    <w:p>
      <w:pPr>
        <w:pStyle w:val="ListBullet"/>
      </w:pPr>
      <w:r>
        <w:t>Durante la administración, registre 1/0 y observaciones relevantes. Fuera de aprendizaje no informe si una respuesta fue correcta o incorrecta.</w:t>
      </w:r>
    </w:p>
    <w:p>
      <w:pPr>
        <w:pStyle w:val="Heading1"/>
      </w:pPr>
      <w:r>
        <w:t>4. Lógica de bloques: qué decide la app</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val="true"/>
        </w:trPr>
        <w:tc>
          <w:tcPr>
            <w:tcW w:type="dxa" w:w="2160"/>
            <w:shd w:fill="DCE8E3"/>
            <w:vAlign w:val="center"/>
            <w:tcMar>
              <w:top w:w="80" w:type="dxa"/>
              <w:start w:w="100" w:type="dxa"/>
              <w:bottom w:w="80" w:type="dxa"/>
              <w:end w:w="100" w:type="dxa"/>
            </w:tcMar>
          </w:tcPr>
          <w:p>
            <w:pPr>
              <w:jc w:val="center"/>
            </w:pPr>
            <w:r>
              <w:rPr>
                <w:b/>
                <w:sz w:val="18"/>
              </w:rPr>
              <w:t>Resultado del primer bloque</w:t>
            </w:r>
          </w:p>
        </w:tc>
        <w:tc>
          <w:tcPr>
            <w:tcW w:type="dxa" w:w="3384"/>
            <w:shd w:fill="DCE8E3"/>
            <w:vAlign w:val="center"/>
            <w:tcMar>
              <w:top w:w="80" w:type="dxa"/>
              <w:start w:w="100" w:type="dxa"/>
              <w:bottom w:w="80" w:type="dxa"/>
              <w:end w:w="100" w:type="dxa"/>
            </w:tcMar>
          </w:tcPr>
          <w:p>
            <w:pPr>
              <w:jc w:val="center"/>
            </w:pPr>
            <w:r>
              <w:rPr>
                <w:b/>
                <w:sz w:val="18"/>
              </w:rPr>
              <w:t>Si inició en ítem 1</w:t>
            </w:r>
          </w:p>
        </w:tc>
        <w:tc>
          <w:tcPr>
            <w:tcW w:type="dxa" w:w="3816"/>
            <w:shd w:fill="DCE8E3"/>
            <w:vAlign w:val="center"/>
            <w:tcMar>
              <w:top w:w="80" w:type="dxa"/>
              <w:start w:w="100" w:type="dxa"/>
              <w:bottom w:w="80" w:type="dxa"/>
              <w:end w:w="100" w:type="dxa"/>
            </w:tcMar>
          </w:tcPr>
          <w:p>
            <w:pPr>
              <w:jc w:val="center"/>
            </w:pPr>
            <w:r>
              <w:rPr>
                <w:b/>
                <w:sz w:val="18"/>
              </w:rPr>
              <w:t>Si inició después del ítem 1</w:t>
            </w:r>
          </w:p>
        </w:tc>
      </w:tr>
      <w:tr>
        <w:trPr>
          <w:cantSplit w:val="true"/>
        </w:trPr>
        <w:tc>
          <w:tcPr>
            <w:tcW w:type="dxa" w:w="2160"/>
            <w:vAlign w:val="center"/>
            <w:tcMar>
              <w:top w:w="80" w:type="dxa"/>
              <w:start w:w="100" w:type="dxa"/>
              <w:bottom w:w="80" w:type="dxa"/>
              <w:end w:w="100" w:type="dxa"/>
            </w:tcMar>
          </w:tcPr>
          <w:p>
            <w:pPr>
              <w:spacing w:after="0"/>
            </w:pPr>
            <w:r>
              <w:rPr>
                <w:sz w:val="18"/>
              </w:rPr>
              <w:t>2 o más aciertos</w:t>
            </w:r>
          </w:p>
        </w:tc>
        <w:tc>
          <w:tcPr>
            <w:tcW w:type="dxa" w:w="3384"/>
            <w:vAlign w:val="center"/>
            <w:tcMar>
              <w:top w:w="80" w:type="dxa"/>
              <w:start w:w="100" w:type="dxa"/>
              <w:bottom w:w="80" w:type="dxa"/>
              <w:end w:w="100" w:type="dxa"/>
            </w:tcMar>
          </w:tcPr>
          <w:p>
            <w:pPr>
              <w:spacing w:after="0"/>
            </w:pPr>
            <w:r>
              <w:rPr>
                <w:sz w:val="18"/>
              </w:rPr>
              <w:t>Continuar hacia adelante</w:t>
            </w:r>
          </w:p>
        </w:tc>
        <w:tc>
          <w:tcPr>
            <w:tcW w:type="dxa" w:w="3816"/>
            <w:vAlign w:val="center"/>
            <w:tcMar>
              <w:top w:w="80" w:type="dxa"/>
              <w:start w:w="100" w:type="dxa"/>
              <w:bottom w:w="80" w:type="dxa"/>
              <w:end w:w="100" w:type="dxa"/>
            </w:tcMar>
          </w:tcPr>
          <w:p>
            <w:pPr>
              <w:spacing w:after="0"/>
            </w:pPr>
            <w:r>
              <w:rPr>
                <w:sz w:val="18"/>
              </w:rPr>
              <w:t>Continuar + acreditar como correctos los ítems previos no administrados</w:t>
            </w:r>
          </w:p>
        </w:tc>
      </w:tr>
      <w:tr>
        <w:trPr>
          <w:cantSplit w:val="true"/>
        </w:trPr>
        <w:tc>
          <w:tcPr>
            <w:tcW w:type="dxa" w:w="2160"/>
            <w:vAlign w:val="center"/>
            <w:tcMar>
              <w:top w:w="80" w:type="dxa"/>
              <w:start w:w="100" w:type="dxa"/>
              <w:bottom w:w="80" w:type="dxa"/>
              <w:end w:w="100" w:type="dxa"/>
            </w:tcMar>
          </w:tcPr>
          <w:p>
            <w:pPr>
              <w:spacing w:after="0"/>
            </w:pPr>
            <w:r>
              <w:rPr>
                <w:sz w:val="18"/>
              </w:rPr>
              <w:t>1 acierto</w:t>
            </w:r>
          </w:p>
        </w:tc>
        <w:tc>
          <w:tcPr>
            <w:tcW w:type="dxa" w:w="3384"/>
            <w:vAlign w:val="center"/>
            <w:tcMar>
              <w:top w:w="80" w:type="dxa"/>
              <w:start w:w="100" w:type="dxa"/>
              <w:bottom w:w="80" w:type="dxa"/>
              <w:end w:w="100" w:type="dxa"/>
            </w:tcMar>
          </w:tcPr>
          <w:p>
            <w:pPr>
              <w:spacing w:after="0"/>
            </w:pPr>
            <w:r>
              <w:rPr>
                <w:sz w:val="18"/>
              </w:rPr>
              <w:t>Continuar hacia adelante</w:t>
            </w:r>
          </w:p>
        </w:tc>
        <w:tc>
          <w:tcPr>
            <w:tcW w:type="dxa" w:w="3816"/>
            <w:vAlign w:val="center"/>
            <w:tcMar>
              <w:top w:w="80" w:type="dxa"/>
              <w:start w:w="100" w:type="dxa"/>
              <w:bottom w:w="80" w:type="dxa"/>
              <w:end w:w="100" w:type="dxa"/>
            </w:tcMar>
          </w:tcPr>
          <w:p>
            <w:pPr>
              <w:spacing w:after="0"/>
            </w:pPr>
            <w:r>
              <w:rPr>
                <w:sz w:val="18"/>
              </w:rPr>
              <w:t>RETORNAR al ítem 1</w:t>
            </w:r>
          </w:p>
        </w:tc>
      </w:tr>
      <w:tr>
        <w:trPr>
          <w:cantSplit w:val="true"/>
        </w:trPr>
        <w:tc>
          <w:tcPr>
            <w:tcW w:type="dxa" w:w="2160"/>
            <w:vAlign w:val="center"/>
            <w:tcMar>
              <w:top w:w="80" w:type="dxa"/>
              <w:start w:w="100" w:type="dxa"/>
              <w:bottom w:w="80" w:type="dxa"/>
              <w:end w:w="100" w:type="dxa"/>
            </w:tcMar>
          </w:tcPr>
          <w:p>
            <w:pPr>
              <w:spacing w:after="0"/>
            </w:pPr>
            <w:r>
              <w:rPr>
                <w:sz w:val="18"/>
              </w:rPr>
              <w:t>0 aciertos</w:t>
            </w:r>
          </w:p>
        </w:tc>
        <w:tc>
          <w:tcPr>
            <w:tcW w:type="dxa" w:w="3384"/>
            <w:vAlign w:val="center"/>
            <w:tcMar>
              <w:top w:w="80" w:type="dxa"/>
              <w:start w:w="100" w:type="dxa"/>
              <w:bottom w:w="80" w:type="dxa"/>
              <w:end w:w="100" w:type="dxa"/>
            </w:tcMar>
          </w:tcPr>
          <w:p>
            <w:pPr>
              <w:spacing w:after="0"/>
            </w:pPr>
            <w:r>
              <w:rPr>
                <w:sz w:val="18"/>
              </w:rPr>
              <w:t>TERMINAR</w:t>
            </w:r>
          </w:p>
        </w:tc>
        <w:tc>
          <w:tcPr>
            <w:tcW w:type="dxa" w:w="3816"/>
            <w:vAlign w:val="center"/>
            <w:tcMar>
              <w:top w:w="80" w:type="dxa"/>
              <w:start w:w="100" w:type="dxa"/>
              <w:bottom w:w="80" w:type="dxa"/>
              <w:end w:w="100" w:type="dxa"/>
            </w:tcMar>
          </w:tcPr>
          <w:p>
            <w:pPr>
              <w:spacing w:after="0"/>
            </w:pPr>
            <w:r>
              <w:rPr>
                <w:sz w:val="18"/>
              </w:rPr>
              <w:t>RETORNAR al ítem 1</w:t>
            </w:r>
          </w:p>
        </w:tc>
      </w:tr>
    </w:tbl>
    <w:p>
      <w:pPr>
        <w:spacing w:after="0"/>
      </w:pPr>
    </w:p>
    <w:p>
      <w:r>
        <w:t>Después del primer bloque, la regla general es simple: si un bloque completo obtiene 0, la subprueba se termina. La excepción es el primer bloque administrado cuando el punto de inicio era posterior al ítem 1; en ese caso un bloque con menos de dos aciertos activa retorno en lugar de terminar.</w:t>
      </w:r>
    </w:p>
    <w:p>
      <w:pPr>
        <w:pStyle w:val="Heading1"/>
      </w:pPr>
      <w:r>
        <w:t>5. Mapa de bloques usado por la aplicación</w:t>
      </w:r>
    </w:p>
    <w:tbl>
      <w:tblPr>
        <w:tblStyle w:val="TableGrid"/>
        <w:tblW w:type="auto" w:w="0"/>
        <w:jc w:val="center"/>
        <w:tblLook w:firstColumn="1" w:firstRow="1" w:lastColumn="0" w:lastRow="0" w:noHBand="0" w:noVBand="1" w:val="04A0"/>
      </w:tblPr>
      <w:tblGrid>
        <w:gridCol w:w="5083"/>
        <w:gridCol w:w="5083"/>
      </w:tblGrid>
      <w:tr>
        <w:trPr>
          <w:tblHeader w:val="true"/>
          <w:cantSplit w:val="true"/>
        </w:trPr>
        <w:tc>
          <w:tcPr>
            <w:tcW w:type="dxa" w:w="2592"/>
            <w:shd w:fill="DCE8E3"/>
            <w:vAlign w:val="center"/>
            <w:tcMar>
              <w:top w:w="80" w:type="dxa"/>
              <w:start w:w="100" w:type="dxa"/>
              <w:bottom w:w="80" w:type="dxa"/>
              <w:end w:w="100" w:type="dxa"/>
            </w:tcMar>
          </w:tcPr>
          <w:p>
            <w:pPr>
              <w:jc w:val="center"/>
            </w:pPr>
            <w:r>
              <w:rPr>
                <w:b/>
                <w:sz w:val="18"/>
              </w:rPr>
              <w:t>Subprueba</w:t>
            </w:r>
          </w:p>
        </w:tc>
        <w:tc>
          <w:tcPr>
            <w:tcW w:type="dxa" w:w="6912"/>
            <w:shd w:fill="DCE8E3"/>
            <w:vAlign w:val="center"/>
            <w:tcMar>
              <w:top w:w="80" w:type="dxa"/>
              <w:start w:w="100" w:type="dxa"/>
              <w:bottom w:w="80" w:type="dxa"/>
              <w:end w:w="100" w:type="dxa"/>
            </w:tcMar>
          </w:tcPr>
          <w:p>
            <w:pPr>
              <w:jc w:val="center"/>
            </w:pPr>
            <w:r>
              <w:rPr>
                <w:b/>
                <w:sz w:val="18"/>
              </w:rPr>
              <w:t>Bloques operativos</w:t>
            </w:r>
          </w:p>
        </w:tc>
      </w:tr>
      <w:tr>
        <w:trPr>
          <w:cantSplit w:val="true"/>
        </w:trPr>
        <w:tc>
          <w:tcPr>
            <w:tcW w:type="dxa" w:w="2592"/>
            <w:vAlign w:val="center"/>
            <w:tcMar>
              <w:top w:w="80" w:type="dxa"/>
              <w:start w:w="100" w:type="dxa"/>
              <w:bottom w:w="80" w:type="dxa"/>
              <w:end w:w="100" w:type="dxa"/>
            </w:tcMar>
          </w:tcPr>
          <w:p>
            <w:pPr>
              <w:spacing w:after="0"/>
            </w:pPr>
            <w:r>
              <w:rPr>
                <w:sz w:val="18"/>
              </w:rPr>
              <w:t>Vocabulario expresivo</w:t>
            </w:r>
          </w:p>
        </w:tc>
        <w:tc>
          <w:tcPr>
            <w:tcW w:type="dxa" w:w="6912"/>
            <w:vAlign w:val="center"/>
            <w:tcMar>
              <w:top w:w="80" w:type="dxa"/>
              <w:start w:w="100" w:type="dxa"/>
              <w:bottom w:w="80" w:type="dxa"/>
              <w:end w:w="100" w:type="dxa"/>
            </w:tcMar>
          </w:tcPr>
          <w:p>
            <w:pPr>
              <w:spacing w:after="0"/>
            </w:pPr>
            <w:r>
              <w:rPr>
                <w:sz w:val="18"/>
              </w:rPr>
              <w:t>1-5 · 6-10 · 11-15 · 16-20 · 21-25 · 26-30 · 31-35 · 36-40 · 41-45</w:t>
            </w:r>
          </w:p>
        </w:tc>
      </w:tr>
      <w:tr>
        <w:trPr>
          <w:cantSplit w:val="true"/>
        </w:trPr>
        <w:tc>
          <w:tcPr>
            <w:tcW w:type="dxa" w:w="2592"/>
            <w:vAlign w:val="center"/>
            <w:tcMar>
              <w:top w:w="80" w:type="dxa"/>
              <w:start w:w="100" w:type="dxa"/>
              <w:bottom w:w="80" w:type="dxa"/>
              <w:end w:w="100" w:type="dxa"/>
            </w:tcMar>
          </w:tcPr>
          <w:p>
            <w:pPr>
              <w:spacing w:after="0"/>
            </w:pPr>
            <w:r>
              <w:rPr>
                <w:sz w:val="18"/>
              </w:rPr>
              <w:t>Definiciones</w:t>
            </w:r>
          </w:p>
        </w:tc>
        <w:tc>
          <w:tcPr>
            <w:tcW w:type="dxa" w:w="6912"/>
            <w:vAlign w:val="center"/>
            <w:tcMar>
              <w:top w:w="80" w:type="dxa"/>
              <w:start w:w="100" w:type="dxa"/>
              <w:bottom w:w="80" w:type="dxa"/>
              <w:end w:w="100" w:type="dxa"/>
            </w:tcMar>
          </w:tcPr>
          <w:p>
            <w:pPr>
              <w:spacing w:after="0"/>
            </w:pPr>
            <w:r>
              <w:rPr>
                <w:sz w:val="18"/>
              </w:rPr>
              <w:t>1-5 · 6-10 · 11-15 · 16-20 · 21-25 · 26-29 · 30-33 · 34-37</w:t>
            </w:r>
          </w:p>
        </w:tc>
      </w:tr>
      <w:tr>
        <w:trPr>
          <w:cantSplit w:val="true"/>
        </w:trPr>
        <w:tc>
          <w:tcPr>
            <w:tcW w:type="dxa" w:w="2592"/>
            <w:vAlign w:val="center"/>
            <w:tcMar>
              <w:top w:w="80" w:type="dxa"/>
              <w:start w:w="100" w:type="dxa"/>
              <w:bottom w:w="80" w:type="dxa"/>
              <w:end w:w="100" w:type="dxa"/>
            </w:tcMar>
          </w:tcPr>
          <w:p>
            <w:pPr>
              <w:spacing w:after="0"/>
            </w:pPr>
            <w:r>
              <w:rPr>
                <w:sz w:val="18"/>
              </w:rPr>
              <w:t>Matrices</w:t>
            </w:r>
          </w:p>
        </w:tc>
        <w:tc>
          <w:tcPr>
            <w:tcW w:type="dxa" w:w="6912"/>
            <w:vAlign w:val="center"/>
            <w:tcMar>
              <w:top w:w="80" w:type="dxa"/>
              <w:start w:w="100" w:type="dxa"/>
              <w:bottom w:w="80" w:type="dxa"/>
              <w:end w:w="100" w:type="dxa"/>
            </w:tcMar>
          </w:tcPr>
          <w:p>
            <w:pPr>
              <w:spacing w:after="0"/>
            </w:pPr>
            <w:r>
              <w:rPr>
                <w:sz w:val="18"/>
              </w:rPr>
              <w:t>1-4 · 5-9 · 10-14 · 15-19 · 20-24 · 25-29 · 30-34 · 35-39 · 40-44 · 45-48</w:t>
            </w:r>
          </w:p>
        </w:tc>
      </w:tr>
    </w:tbl>
    <w:p>
      <w:pPr>
        <w:spacing w:after="0"/>
      </w:pPr>
    </w:p>
    <w:tbl>
      <w:tblPr>
        <w:tblW w:type="auto" w:w="0"/>
        <w:jc w:val="center"/>
        <w:tblLayout w:type="autofit"/>
        <w:tblLook w:firstColumn="1" w:firstRow="1" w:lastColumn="0" w:lastRow="0" w:noHBand="0" w:noVBand="1" w:val="04A0"/>
      </w:tblPr>
      <w:tblGrid>
        <w:gridCol w:w="10166"/>
      </w:tblGrid>
      <w:tr>
        <w:tc>
          <w:tcPr>
            <w:tcW w:type="dxa" w:w="10166"/>
            <w:shd w:fill="FFF7E6"/>
            <w:tcMar>
              <w:top w:w="120" w:type="dxa"/>
              <w:start w:w="140" w:type="dxa"/>
              <w:bottom w:w="120" w:type="dxa"/>
              <w:end w:w="140" w:type="dxa"/>
            </w:tcMar>
          </w:tcPr>
          <w:p>
            <w:r>
              <w:rPr>
                <w:b/>
                <w:color w:val="7B5A23"/>
              </w:rPr>
              <w:t xml:space="preserve">Control de calidad. </w:t>
            </w:r>
            <w:r>
              <w:t>Los bloques de Vocabulario tienen verificación muy alta. Los mapas de Definiciones y Matrices se integran como reconstrucción de alta confianza coherente con los separadores y ejemplos documentales; para una producción clínica definitiva siempre debe prevalecer el material oficial del kit.</w:t>
            </w:r>
          </w:p>
        </w:tc>
      </w:tr>
    </w:tbl>
    <w:p>
      <w:pPr>
        <w:spacing w:after="0"/>
      </w:pPr>
    </w:p>
    <w:p>
      <w:r>
        <w:br w:type="page"/>
      </w:r>
    </w:p>
    <w:p>
      <w:pPr>
        <w:pStyle w:val="Heading1"/>
      </w:pPr>
      <w:r>
        <w:t>6. Vocabulario expresivo: administración paso a paso</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val="true"/>
        </w:trPr>
        <w:tc>
          <w:tcPr>
            <w:tcW w:type="dxa" w:w="2304"/>
            <w:shd w:fill="DCE8E3"/>
            <w:vAlign w:val="center"/>
            <w:tcMar>
              <w:top w:w="80" w:type="dxa"/>
              <w:start w:w="100" w:type="dxa"/>
              <w:bottom w:w="80" w:type="dxa"/>
              <w:end w:w="100" w:type="dxa"/>
            </w:tcMar>
          </w:tcPr>
          <w:p>
            <w:pPr>
              <w:jc w:val="center"/>
            </w:pPr>
            <w:r>
              <w:rPr>
                <w:b/>
                <w:sz w:val="18"/>
              </w:rPr>
              <w:t>Edad</w:t>
            </w:r>
          </w:p>
        </w:tc>
        <w:tc>
          <w:tcPr>
            <w:tcW w:type="dxa" w:w="2448"/>
            <w:shd w:fill="DCE8E3"/>
            <w:vAlign w:val="center"/>
            <w:tcMar>
              <w:top w:w="80" w:type="dxa"/>
              <w:start w:w="100" w:type="dxa"/>
              <w:bottom w:w="80" w:type="dxa"/>
              <w:end w:w="100" w:type="dxa"/>
            </w:tcMar>
          </w:tcPr>
          <w:p>
            <w:pPr>
              <w:jc w:val="center"/>
            </w:pPr>
            <w:r>
              <w:rPr>
                <w:b/>
                <w:sz w:val="18"/>
              </w:rPr>
              <w:t>Comenzar en</w:t>
            </w:r>
          </w:p>
        </w:tc>
        <w:tc>
          <w:tcPr>
            <w:tcW w:type="dxa" w:w="3024"/>
            <w:shd w:fill="DCE8E3"/>
            <w:vAlign w:val="center"/>
            <w:tcMar>
              <w:top w:w="80" w:type="dxa"/>
              <w:start w:w="100" w:type="dxa"/>
              <w:bottom w:w="80" w:type="dxa"/>
              <w:end w:w="100" w:type="dxa"/>
            </w:tcMar>
          </w:tcPr>
          <w:p>
            <w:pPr>
              <w:jc w:val="center"/>
            </w:pPr>
            <w:r>
              <w:rPr>
                <w:b/>
                <w:sz w:val="18"/>
              </w:rPr>
              <w:t>Primer bloque</w:t>
            </w:r>
          </w:p>
        </w:tc>
      </w:tr>
      <w:tr>
        <w:trPr>
          <w:cantSplit w:val="true"/>
        </w:trPr>
        <w:tc>
          <w:tcPr>
            <w:tcW w:type="dxa" w:w="2304"/>
            <w:vAlign w:val="center"/>
            <w:tcMar>
              <w:top w:w="80" w:type="dxa"/>
              <w:start w:w="100" w:type="dxa"/>
              <w:bottom w:w="80" w:type="dxa"/>
              <w:end w:w="100" w:type="dxa"/>
            </w:tcMar>
          </w:tcPr>
          <w:p>
            <w:pPr>
              <w:spacing w:after="0"/>
            </w:pPr>
            <w:r>
              <w:rPr>
                <w:sz w:val="18"/>
              </w:rPr>
              <w:t>4-5 años</w:t>
            </w:r>
          </w:p>
        </w:tc>
        <w:tc>
          <w:tcPr>
            <w:tcW w:type="dxa" w:w="2448"/>
            <w:vAlign w:val="center"/>
            <w:tcMar>
              <w:top w:w="80" w:type="dxa"/>
              <w:start w:w="100" w:type="dxa"/>
              <w:bottom w:w="80" w:type="dxa"/>
              <w:end w:w="100" w:type="dxa"/>
            </w:tcMar>
          </w:tcPr>
          <w:p>
            <w:pPr>
              <w:spacing w:after="0"/>
            </w:pPr>
            <w:r>
              <w:rPr>
                <w:sz w:val="18"/>
              </w:rPr>
              <w:t>Ítem 1</w:t>
            </w:r>
          </w:p>
        </w:tc>
        <w:tc>
          <w:tcPr>
            <w:tcW w:type="dxa" w:w="3024"/>
            <w:vAlign w:val="center"/>
            <w:tcMar>
              <w:top w:w="80" w:type="dxa"/>
              <w:start w:w="100" w:type="dxa"/>
              <w:bottom w:w="80" w:type="dxa"/>
              <w:end w:w="100" w:type="dxa"/>
            </w:tcMar>
          </w:tcPr>
          <w:p>
            <w:pPr>
              <w:spacing w:after="0"/>
            </w:pPr>
            <w:r>
              <w:rPr>
                <w:sz w:val="18"/>
              </w:rPr>
              <w:t>1-5</w:t>
            </w:r>
          </w:p>
        </w:tc>
      </w:tr>
      <w:tr>
        <w:trPr>
          <w:cantSplit w:val="true"/>
        </w:trPr>
        <w:tc>
          <w:tcPr>
            <w:tcW w:type="dxa" w:w="2304"/>
            <w:vAlign w:val="center"/>
            <w:tcMar>
              <w:top w:w="80" w:type="dxa"/>
              <w:start w:w="100" w:type="dxa"/>
              <w:bottom w:w="80" w:type="dxa"/>
              <w:end w:w="100" w:type="dxa"/>
            </w:tcMar>
          </w:tcPr>
          <w:p>
            <w:pPr>
              <w:spacing w:after="0"/>
            </w:pPr>
            <w:r>
              <w:rPr>
                <w:sz w:val="18"/>
              </w:rPr>
              <w:t>6 años</w:t>
            </w:r>
          </w:p>
        </w:tc>
        <w:tc>
          <w:tcPr>
            <w:tcW w:type="dxa" w:w="2448"/>
            <w:vAlign w:val="center"/>
            <w:tcMar>
              <w:top w:w="80" w:type="dxa"/>
              <w:start w:w="100" w:type="dxa"/>
              <w:bottom w:w="80" w:type="dxa"/>
              <w:end w:w="100" w:type="dxa"/>
            </w:tcMar>
          </w:tcPr>
          <w:p>
            <w:pPr>
              <w:spacing w:after="0"/>
            </w:pPr>
            <w:r>
              <w:rPr>
                <w:sz w:val="18"/>
              </w:rPr>
              <w:t>Ítem 6</w:t>
            </w:r>
          </w:p>
        </w:tc>
        <w:tc>
          <w:tcPr>
            <w:tcW w:type="dxa" w:w="3024"/>
            <w:vAlign w:val="center"/>
            <w:tcMar>
              <w:top w:w="80" w:type="dxa"/>
              <w:start w:w="100" w:type="dxa"/>
              <w:bottom w:w="80" w:type="dxa"/>
              <w:end w:w="100" w:type="dxa"/>
            </w:tcMar>
          </w:tcPr>
          <w:p>
            <w:pPr>
              <w:spacing w:after="0"/>
            </w:pPr>
            <w:r>
              <w:rPr>
                <w:sz w:val="18"/>
              </w:rPr>
              <w:t>6-10</w:t>
            </w:r>
          </w:p>
        </w:tc>
      </w:tr>
      <w:tr>
        <w:trPr>
          <w:cantSplit w:val="true"/>
        </w:trPr>
        <w:tc>
          <w:tcPr>
            <w:tcW w:type="dxa" w:w="2304"/>
            <w:vAlign w:val="center"/>
            <w:tcMar>
              <w:top w:w="80" w:type="dxa"/>
              <w:start w:w="100" w:type="dxa"/>
              <w:bottom w:w="80" w:type="dxa"/>
              <w:end w:w="100" w:type="dxa"/>
            </w:tcMar>
          </w:tcPr>
          <w:p>
            <w:pPr>
              <w:spacing w:after="0"/>
            </w:pPr>
            <w:r>
              <w:rPr>
                <w:sz w:val="18"/>
              </w:rPr>
              <w:t>7 años</w:t>
            </w:r>
          </w:p>
        </w:tc>
        <w:tc>
          <w:tcPr>
            <w:tcW w:type="dxa" w:w="2448"/>
            <w:vAlign w:val="center"/>
            <w:tcMar>
              <w:top w:w="80" w:type="dxa"/>
              <w:start w:w="100" w:type="dxa"/>
              <w:bottom w:w="80" w:type="dxa"/>
              <w:end w:w="100" w:type="dxa"/>
            </w:tcMar>
          </w:tcPr>
          <w:p>
            <w:pPr>
              <w:spacing w:after="0"/>
            </w:pPr>
            <w:r>
              <w:rPr>
                <w:sz w:val="18"/>
              </w:rPr>
              <w:t>Ítem 11</w:t>
            </w:r>
          </w:p>
        </w:tc>
        <w:tc>
          <w:tcPr>
            <w:tcW w:type="dxa" w:w="3024"/>
            <w:vAlign w:val="center"/>
            <w:tcMar>
              <w:top w:w="80" w:type="dxa"/>
              <w:start w:w="100" w:type="dxa"/>
              <w:bottom w:w="80" w:type="dxa"/>
              <w:end w:w="100" w:type="dxa"/>
            </w:tcMar>
          </w:tcPr>
          <w:p>
            <w:pPr>
              <w:spacing w:after="0"/>
            </w:pPr>
            <w:r>
              <w:rPr>
                <w:sz w:val="18"/>
              </w:rPr>
              <w:t>11-15</w:t>
            </w:r>
          </w:p>
        </w:tc>
      </w:tr>
      <w:tr>
        <w:trPr>
          <w:cantSplit w:val="true"/>
        </w:trPr>
        <w:tc>
          <w:tcPr>
            <w:tcW w:type="dxa" w:w="2304"/>
            <w:vAlign w:val="center"/>
            <w:tcMar>
              <w:top w:w="80" w:type="dxa"/>
              <w:start w:w="100" w:type="dxa"/>
              <w:bottom w:w="80" w:type="dxa"/>
              <w:end w:w="100" w:type="dxa"/>
            </w:tcMar>
          </w:tcPr>
          <w:p>
            <w:pPr>
              <w:spacing w:after="0"/>
            </w:pPr>
            <w:r>
              <w:rPr>
                <w:sz w:val="18"/>
              </w:rPr>
              <w:t>8 años</w:t>
            </w:r>
          </w:p>
        </w:tc>
        <w:tc>
          <w:tcPr>
            <w:tcW w:type="dxa" w:w="2448"/>
            <w:vAlign w:val="center"/>
            <w:tcMar>
              <w:top w:w="80" w:type="dxa"/>
              <w:start w:w="100" w:type="dxa"/>
              <w:bottom w:w="80" w:type="dxa"/>
              <w:end w:w="100" w:type="dxa"/>
            </w:tcMar>
          </w:tcPr>
          <w:p>
            <w:pPr>
              <w:spacing w:after="0"/>
            </w:pPr>
            <w:r>
              <w:rPr>
                <w:sz w:val="18"/>
              </w:rPr>
              <w:t>Ítem 16</w:t>
            </w:r>
          </w:p>
        </w:tc>
        <w:tc>
          <w:tcPr>
            <w:tcW w:type="dxa" w:w="3024"/>
            <w:vAlign w:val="center"/>
            <w:tcMar>
              <w:top w:w="80" w:type="dxa"/>
              <w:start w:w="100" w:type="dxa"/>
              <w:bottom w:w="80" w:type="dxa"/>
              <w:end w:w="100" w:type="dxa"/>
            </w:tcMar>
          </w:tcPr>
          <w:p>
            <w:pPr>
              <w:spacing w:after="0"/>
            </w:pPr>
            <w:r>
              <w:rPr>
                <w:sz w:val="18"/>
              </w:rPr>
              <w:t>16-20</w:t>
            </w:r>
          </w:p>
        </w:tc>
      </w:tr>
      <w:tr>
        <w:trPr>
          <w:cantSplit w:val="true"/>
        </w:trPr>
        <w:tc>
          <w:tcPr>
            <w:tcW w:type="dxa" w:w="2304"/>
            <w:vAlign w:val="center"/>
            <w:tcMar>
              <w:top w:w="80" w:type="dxa"/>
              <w:start w:w="100" w:type="dxa"/>
              <w:bottom w:w="80" w:type="dxa"/>
              <w:end w:w="100" w:type="dxa"/>
            </w:tcMar>
          </w:tcPr>
          <w:p>
            <w:pPr>
              <w:spacing w:after="0"/>
            </w:pPr>
            <w:r>
              <w:rPr>
                <w:sz w:val="18"/>
              </w:rPr>
              <w:t>9-10 años</w:t>
            </w:r>
          </w:p>
        </w:tc>
        <w:tc>
          <w:tcPr>
            <w:tcW w:type="dxa" w:w="2448"/>
            <w:vAlign w:val="center"/>
            <w:tcMar>
              <w:top w:w="80" w:type="dxa"/>
              <w:start w:w="100" w:type="dxa"/>
              <w:bottom w:w="80" w:type="dxa"/>
              <w:end w:w="100" w:type="dxa"/>
            </w:tcMar>
          </w:tcPr>
          <w:p>
            <w:pPr>
              <w:spacing w:after="0"/>
            </w:pPr>
            <w:r>
              <w:rPr>
                <w:sz w:val="18"/>
              </w:rPr>
              <w:t>Ítem 21</w:t>
            </w:r>
          </w:p>
        </w:tc>
        <w:tc>
          <w:tcPr>
            <w:tcW w:type="dxa" w:w="3024"/>
            <w:vAlign w:val="center"/>
            <w:tcMar>
              <w:top w:w="80" w:type="dxa"/>
              <w:start w:w="100" w:type="dxa"/>
              <w:bottom w:w="80" w:type="dxa"/>
              <w:end w:w="100" w:type="dxa"/>
            </w:tcMar>
          </w:tcPr>
          <w:p>
            <w:pPr>
              <w:spacing w:after="0"/>
            </w:pPr>
            <w:r>
              <w:rPr>
                <w:sz w:val="18"/>
              </w:rPr>
              <w:t>21-25</w:t>
            </w:r>
          </w:p>
        </w:tc>
      </w:tr>
      <w:tr>
        <w:trPr>
          <w:cantSplit w:val="true"/>
        </w:trPr>
        <w:tc>
          <w:tcPr>
            <w:tcW w:type="dxa" w:w="2304"/>
            <w:vAlign w:val="center"/>
            <w:tcMar>
              <w:top w:w="80" w:type="dxa"/>
              <w:start w:w="100" w:type="dxa"/>
              <w:bottom w:w="80" w:type="dxa"/>
              <w:end w:w="100" w:type="dxa"/>
            </w:tcMar>
          </w:tcPr>
          <w:p>
            <w:pPr>
              <w:spacing w:after="0"/>
            </w:pPr>
            <w:r>
              <w:rPr>
                <w:sz w:val="18"/>
              </w:rPr>
              <w:t>11-12 años</w:t>
            </w:r>
          </w:p>
        </w:tc>
        <w:tc>
          <w:tcPr>
            <w:tcW w:type="dxa" w:w="2448"/>
            <w:vAlign w:val="center"/>
            <w:tcMar>
              <w:top w:w="80" w:type="dxa"/>
              <w:start w:w="100" w:type="dxa"/>
              <w:bottom w:w="80" w:type="dxa"/>
              <w:end w:w="100" w:type="dxa"/>
            </w:tcMar>
          </w:tcPr>
          <w:p>
            <w:pPr>
              <w:spacing w:after="0"/>
            </w:pPr>
            <w:r>
              <w:rPr>
                <w:sz w:val="18"/>
              </w:rPr>
              <w:t>Ítem 26</w:t>
            </w:r>
          </w:p>
        </w:tc>
        <w:tc>
          <w:tcPr>
            <w:tcW w:type="dxa" w:w="3024"/>
            <w:vAlign w:val="center"/>
            <w:tcMar>
              <w:top w:w="80" w:type="dxa"/>
              <w:start w:w="100" w:type="dxa"/>
              <w:bottom w:w="80" w:type="dxa"/>
              <w:end w:w="100" w:type="dxa"/>
            </w:tcMar>
          </w:tcPr>
          <w:p>
            <w:pPr>
              <w:spacing w:after="0"/>
            </w:pPr>
            <w:r>
              <w:rPr>
                <w:sz w:val="18"/>
              </w:rPr>
              <w:t>26-30</w:t>
            </w:r>
          </w:p>
        </w:tc>
      </w:tr>
      <w:tr>
        <w:trPr>
          <w:cantSplit w:val="true"/>
        </w:trPr>
        <w:tc>
          <w:tcPr>
            <w:tcW w:type="dxa" w:w="2304"/>
            <w:vAlign w:val="center"/>
            <w:tcMar>
              <w:top w:w="80" w:type="dxa"/>
              <w:start w:w="100" w:type="dxa"/>
              <w:bottom w:w="80" w:type="dxa"/>
              <w:end w:w="100" w:type="dxa"/>
            </w:tcMar>
          </w:tcPr>
          <w:p>
            <w:pPr>
              <w:spacing w:after="0"/>
            </w:pPr>
            <w:r>
              <w:rPr>
                <w:sz w:val="18"/>
              </w:rPr>
              <w:t>13-90 años</w:t>
            </w:r>
          </w:p>
        </w:tc>
        <w:tc>
          <w:tcPr>
            <w:tcW w:type="dxa" w:w="2448"/>
            <w:vAlign w:val="center"/>
            <w:tcMar>
              <w:top w:w="80" w:type="dxa"/>
              <w:start w:w="100" w:type="dxa"/>
              <w:bottom w:w="80" w:type="dxa"/>
              <w:end w:w="100" w:type="dxa"/>
            </w:tcMar>
          </w:tcPr>
          <w:p>
            <w:pPr>
              <w:spacing w:after="0"/>
            </w:pPr>
            <w:r>
              <w:rPr>
                <w:sz w:val="18"/>
              </w:rPr>
              <w:t>Ítem 31</w:t>
            </w:r>
          </w:p>
        </w:tc>
        <w:tc>
          <w:tcPr>
            <w:tcW w:type="dxa" w:w="3024"/>
            <w:vAlign w:val="center"/>
            <w:tcMar>
              <w:top w:w="80" w:type="dxa"/>
              <w:start w:w="100" w:type="dxa"/>
              <w:bottom w:w="80" w:type="dxa"/>
              <w:end w:w="100" w:type="dxa"/>
            </w:tcMar>
          </w:tcPr>
          <w:p>
            <w:pPr>
              <w:spacing w:after="0"/>
            </w:pPr>
            <w:r>
              <w:rPr>
                <w:sz w:val="18"/>
              </w:rPr>
              <w:t>31-35</w:t>
            </w:r>
          </w:p>
        </w:tc>
      </w:tr>
    </w:tbl>
    <w:p>
      <w:pPr>
        <w:spacing w:after="0"/>
      </w:pPr>
    </w:p>
    <w:p>
      <w:pPr>
        <w:ind w:left="317" w:hanging="259"/>
      </w:pPr>
      <w:r>
        <w:rPr>
          <w:b/>
        </w:rPr>
        <w:t xml:space="preserve">1. </w:t>
      </w:r>
      <w:r>
        <w:t>Entre a Aplicación y seleccione Vocabulario expresivo. La pantalla de preparación mostrará la edad, el ítem inicial y el primer bloque.</w:t>
      </w:r>
    </w:p>
    <w:p>
      <w:pPr>
        <w:ind w:left="317" w:hanging="259"/>
      </w:pPr>
      <w:r>
        <w:rPr>
          <w:b/>
        </w:rPr>
        <w:t xml:space="preserve">2. </w:t>
      </w:r>
      <w:r>
        <w:t>Pulse Iniciar. Presente el estímulo visual indicado. El evaluado debe denominar el objeto conforme a las instrucciones estandarizadas del material autorizado.</w:t>
      </w:r>
    </w:p>
    <w:p>
      <w:pPr>
        <w:ind w:left="317" w:hanging="259"/>
      </w:pPr>
      <w:r>
        <w:rPr>
          <w:b/>
        </w:rPr>
        <w:t xml:space="preserve">3. </w:t>
      </w:r>
      <w:r>
        <w:t>Los dos primeros ítems realmente administrados son de aprendizaje. Registre la primera respuesta y puntúela. Si después explica la tarea, el puntaje inicial no cambia.</w:t>
      </w:r>
    </w:p>
    <w:p>
      <w:pPr>
        <w:ind w:left="317" w:hanging="259"/>
      </w:pPr>
      <w:r>
        <w:rPr>
          <w:b/>
        </w:rPr>
        <w:t xml:space="preserve">4. </w:t>
      </w:r>
      <w:r>
        <w:t>Si la respuesta es vaga, puede solicitar un nombre más específico de forma neutral. Si nombra solo una parte, puede redirigir a nombrar la figura completa sin revelar la respuesta.</w:t>
      </w:r>
    </w:p>
    <w:p>
      <w:pPr>
        <w:ind w:left="317" w:hanging="259"/>
      </w:pPr>
      <w:r>
        <w:rPr>
          <w:b/>
        </w:rPr>
        <w:t xml:space="preserve">5. </w:t>
      </w:r>
      <w:r>
        <w:t>No penalice una pronunciación imperfecta si la palabra es inequívocamente reconocible. Una respuesta correcta en otro idioma/dialecto/signos puede acreditarse solo si puede verificarse con seguridad; documente el contexto lingüístico.</w:t>
      </w:r>
    </w:p>
    <w:p>
      <w:pPr>
        <w:ind w:left="317" w:hanging="259"/>
      </w:pPr>
      <w:r>
        <w:rPr>
          <w:b/>
        </w:rPr>
        <w:t xml:space="preserve">6. </w:t>
      </w:r>
      <w:r>
        <w:t>Complete TODO el primer bloque. No haga una decisión de retorno antes de terminarlo.</w:t>
      </w:r>
    </w:p>
    <w:p>
      <w:pPr>
        <w:ind w:left="317" w:hanging="259"/>
      </w:pPr>
      <w:r>
        <w:rPr>
          <w:b/>
        </w:rPr>
        <w:t xml:space="preserve">7. </w:t>
      </w:r>
      <w:r>
        <w:t>Pulse Siguiente. La app contará los aciertos del primer bloque y mostrará CONTINUAR, CRÉDITO PREVIO o RETORNO.</w:t>
      </w:r>
    </w:p>
    <w:p>
      <w:pPr>
        <w:ind w:left="317" w:hanging="259"/>
      </w:pPr>
      <w:r>
        <w:rPr>
          <w:b/>
        </w:rPr>
        <w:t xml:space="preserve">8. </w:t>
      </w:r>
      <w:r>
        <w:t>En los bloques siguientes, continúe en orden. Cuando un bloque completo obtenga 0, la app cerrará la subprueba y marcará los ítems posteriores como no administrados.</w:t>
      </w:r>
    </w:p>
    <w:tbl>
      <w:tblPr>
        <w:tblW w:type="auto" w:w="0"/>
        <w:jc w:val="center"/>
        <w:tblLayout w:type="autofit"/>
        <w:tblLook w:firstColumn="1" w:firstRow="1" w:lastColumn="0" w:lastRow="0" w:noHBand="0" w:noVBand="1" w:val="04A0"/>
      </w:tblPr>
      <w:tblGrid>
        <w:gridCol w:w="10166"/>
      </w:tblGrid>
      <w:tr>
        <w:tc>
          <w:tcPr>
            <w:tcW w:type="dxa" w:w="10166"/>
            <w:shd w:fill="EAF3EF"/>
            <w:tcMar>
              <w:top w:w="120" w:type="dxa"/>
              <w:start w:w="140" w:type="dxa"/>
              <w:bottom w:w="120" w:type="dxa"/>
              <w:end w:w="140" w:type="dxa"/>
            </w:tcMar>
          </w:tcPr>
          <w:p>
            <w:r>
              <w:rPr>
                <w:b/>
                <w:color w:val="2F6459"/>
              </w:rPr>
              <w:t xml:space="preserve">Tiempo. </w:t>
            </w:r>
            <w:r>
              <w:t>Vocabulario expresivo no tiene un límite específico por ítem. Evite transformar la ausencia de límite en ayudas continuas o enseñanza correctiva.</w:t>
            </w:r>
          </w:p>
        </w:tc>
      </w:tr>
    </w:tbl>
    <w:p>
      <w:pPr>
        <w:spacing w:after="0"/>
      </w:pPr>
    </w:p>
    <w:p>
      <w:pPr>
        <w:pStyle w:val="Heading1"/>
      </w:pPr>
      <w:r>
        <w:t>7. Definiciones: administración paso a paso</w:t>
      </w:r>
    </w:p>
    <w:tbl>
      <w:tblPr>
        <w:tblW w:type="auto" w:w="0"/>
        <w:jc w:val="center"/>
        <w:tblLayout w:type="autofit"/>
        <w:tblLook w:firstColumn="1" w:firstRow="1" w:lastColumn="0" w:lastRow="0" w:noHBand="0" w:noVBand="1" w:val="04A0"/>
      </w:tblPr>
      <w:tblGrid>
        <w:gridCol w:w="10166"/>
      </w:tblGrid>
      <w:tr>
        <w:tc>
          <w:tcPr>
            <w:tcW w:type="dxa" w:w="10166"/>
            <w:shd w:fill="FFF7E6"/>
            <w:tcMar>
              <w:top w:w="120" w:type="dxa"/>
              <w:start w:w="140" w:type="dxa"/>
              <w:bottom w:w="120" w:type="dxa"/>
              <w:end w:w="140" w:type="dxa"/>
            </w:tcMar>
          </w:tcPr>
          <w:p>
            <w:r>
              <w:rPr>
                <w:b/>
                <w:color w:val="7B5A23"/>
              </w:rPr>
              <w:t xml:space="preserve">Edad mínima. </w:t>
            </w:r>
            <w:r>
              <w:t>Definiciones NO se administra antes de los 8 años. La aplicación la omite automáticamente y no añade puntaje.</w:t>
            </w:r>
          </w:p>
        </w:tc>
      </w:tr>
    </w:tbl>
    <w:p>
      <w:pPr>
        <w:spacing w:after="0"/>
      </w:pPr>
    </w:p>
    <w:tbl>
      <w:tblPr>
        <w:tblStyle w:val="TableGrid"/>
        <w:tblW w:type="auto" w:w="0"/>
        <w:jc w:val="center"/>
        <w:tblLook w:firstColumn="1" w:firstRow="1" w:lastColumn="0" w:lastRow="0" w:noHBand="0" w:noVBand="1" w:val="04A0"/>
      </w:tblPr>
      <w:tblGrid>
        <w:gridCol w:w="3389"/>
        <w:gridCol w:w="3389"/>
        <w:gridCol w:w="3389"/>
      </w:tblGrid>
      <w:tr>
        <w:trPr>
          <w:tblHeader w:val="true"/>
          <w:cantSplit w:val="true"/>
        </w:trPr>
        <w:tc>
          <w:tcPr>
            <w:tcW w:type="dxa" w:w="2304"/>
            <w:shd w:fill="DCE8E3"/>
            <w:vAlign w:val="center"/>
            <w:tcMar>
              <w:top w:w="80" w:type="dxa"/>
              <w:start w:w="100" w:type="dxa"/>
              <w:bottom w:w="80" w:type="dxa"/>
              <w:end w:w="100" w:type="dxa"/>
            </w:tcMar>
          </w:tcPr>
          <w:p>
            <w:pPr>
              <w:jc w:val="center"/>
            </w:pPr>
            <w:r>
              <w:rPr>
                <w:b/>
                <w:sz w:val="18"/>
              </w:rPr>
              <w:t>Edad</w:t>
            </w:r>
          </w:p>
        </w:tc>
        <w:tc>
          <w:tcPr>
            <w:tcW w:type="dxa" w:w="3168"/>
            <w:shd w:fill="DCE8E3"/>
            <w:vAlign w:val="center"/>
            <w:tcMar>
              <w:top w:w="80" w:type="dxa"/>
              <w:start w:w="100" w:type="dxa"/>
              <w:bottom w:w="80" w:type="dxa"/>
              <w:end w:w="100" w:type="dxa"/>
            </w:tcMar>
          </w:tcPr>
          <w:p>
            <w:pPr>
              <w:jc w:val="center"/>
            </w:pPr>
            <w:r>
              <w:rPr>
                <w:b/>
                <w:sz w:val="18"/>
              </w:rPr>
              <w:t>Antes de puntuar</w:t>
            </w:r>
          </w:p>
        </w:tc>
        <w:tc>
          <w:tcPr>
            <w:tcW w:type="dxa" w:w="2304"/>
            <w:shd w:fill="DCE8E3"/>
            <w:vAlign w:val="center"/>
            <w:tcMar>
              <w:top w:w="80" w:type="dxa"/>
              <w:start w:w="100" w:type="dxa"/>
              <w:bottom w:w="80" w:type="dxa"/>
              <w:end w:w="100" w:type="dxa"/>
            </w:tcMar>
          </w:tcPr>
          <w:p>
            <w:pPr>
              <w:jc w:val="center"/>
            </w:pPr>
            <w:r>
              <w:rPr>
                <w:b/>
                <w:sz w:val="18"/>
              </w:rPr>
              <w:t>Comenzar en</w:t>
            </w:r>
          </w:p>
        </w:tc>
      </w:tr>
      <w:tr>
        <w:trPr>
          <w:cantSplit w:val="true"/>
        </w:trPr>
        <w:tc>
          <w:tcPr>
            <w:tcW w:type="dxa" w:w="2304"/>
            <w:vAlign w:val="center"/>
            <w:tcMar>
              <w:top w:w="80" w:type="dxa"/>
              <w:start w:w="100" w:type="dxa"/>
              <w:bottom w:w="80" w:type="dxa"/>
              <w:end w:w="100" w:type="dxa"/>
            </w:tcMar>
          </w:tcPr>
          <w:p>
            <w:pPr>
              <w:spacing w:after="0"/>
            </w:pPr>
            <w:r>
              <w:rPr>
                <w:sz w:val="18"/>
              </w:rPr>
              <w:t>8-14 años</w:t>
            </w:r>
          </w:p>
        </w:tc>
        <w:tc>
          <w:tcPr>
            <w:tcW w:type="dxa" w:w="3168"/>
            <w:vAlign w:val="center"/>
            <w:tcMar>
              <w:top w:w="80" w:type="dxa"/>
              <w:start w:w="100" w:type="dxa"/>
              <w:bottom w:w="80" w:type="dxa"/>
              <w:end w:w="100" w:type="dxa"/>
            </w:tcMar>
          </w:tcPr>
          <w:p>
            <w:pPr>
              <w:spacing w:after="0"/>
            </w:pPr>
            <w:r>
              <w:rPr>
                <w:sz w:val="18"/>
              </w:rPr>
              <w:t>Ejemplos A y B</w:t>
            </w:r>
          </w:p>
        </w:tc>
        <w:tc>
          <w:tcPr>
            <w:tcW w:type="dxa" w:w="2304"/>
            <w:vAlign w:val="center"/>
            <w:tcMar>
              <w:top w:w="80" w:type="dxa"/>
              <w:start w:w="100" w:type="dxa"/>
              <w:bottom w:w="80" w:type="dxa"/>
              <w:end w:w="100" w:type="dxa"/>
            </w:tcMar>
          </w:tcPr>
          <w:p>
            <w:pPr>
              <w:spacing w:after="0"/>
            </w:pPr>
            <w:r>
              <w:rPr>
                <w:sz w:val="18"/>
              </w:rPr>
              <w:t>Ítem 1</w:t>
            </w:r>
          </w:p>
        </w:tc>
      </w:tr>
      <w:tr>
        <w:trPr>
          <w:cantSplit w:val="true"/>
        </w:trPr>
        <w:tc>
          <w:tcPr>
            <w:tcW w:type="dxa" w:w="2304"/>
            <w:vAlign w:val="center"/>
            <w:tcMar>
              <w:top w:w="80" w:type="dxa"/>
              <w:start w:w="100" w:type="dxa"/>
              <w:bottom w:w="80" w:type="dxa"/>
              <w:end w:w="100" w:type="dxa"/>
            </w:tcMar>
          </w:tcPr>
          <w:p>
            <w:pPr>
              <w:spacing w:after="0"/>
            </w:pPr>
            <w:r>
              <w:rPr>
                <w:sz w:val="18"/>
              </w:rPr>
              <w:t>15-90 años</w:t>
            </w:r>
          </w:p>
        </w:tc>
        <w:tc>
          <w:tcPr>
            <w:tcW w:type="dxa" w:w="3168"/>
            <w:vAlign w:val="center"/>
            <w:tcMar>
              <w:top w:w="80" w:type="dxa"/>
              <w:start w:w="100" w:type="dxa"/>
              <w:bottom w:w="80" w:type="dxa"/>
              <w:end w:w="100" w:type="dxa"/>
            </w:tcMar>
          </w:tcPr>
          <w:p>
            <w:pPr>
              <w:spacing w:after="0"/>
            </w:pPr>
            <w:r>
              <w:rPr>
                <w:sz w:val="18"/>
              </w:rPr>
              <w:t>Ejemplos A y B</w:t>
            </w:r>
          </w:p>
        </w:tc>
        <w:tc>
          <w:tcPr>
            <w:tcW w:type="dxa" w:w="2304"/>
            <w:vAlign w:val="center"/>
            <w:tcMar>
              <w:top w:w="80" w:type="dxa"/>
              <w:start w:w="100" w:type="dxa"/>
              <w:bottom w:w="80" w:type="dxa"/>
              <w:end w:w="100" w:type="dxa"/>
            </w:tcMar>
          </w:tcPr>
          <w:p>
            <w:pPr>
              <w:spacing w:after="0"/>
            </w:pPr>
            <w:r>
              <w:rPr>
                <w:sz w:val="18"/>
              </w:rPr>
              <w:t>Ítem 6</w:t>
            </w:r>
          </w:p>
        </w:tc>
      </w:tr>
    </w:tbl>
    <w:p>
      <w:pPr>
        <w:spacing w:after="0"/>
      </w:pPr>
    </w:p>
    <w:p>
      <w:pPr>
        <w:ind w:left="317" w:hanging="259"/>
      </w:pPr>
      <w:r>
        <w:rPr>
          <w:b/>
        </w:rPr>
        <w:t xml:space="preserve">1. </w:t>
      </w:r>
      <w:r>
        <w:t>Abra Definiciones. La pantalla de preparación mostrará los ejemplos A y B. Presente ambos antes de iniciar los ítems puntuables.</w:t>
      </w:r>
    </w:p>
    <w:p>
      <w:pPr>
        <w:ind w:left="317" w:hanging="259"/>
      </w:pPr>
      <w:r>
        <w:rPr>
          <w:b/>
        </w:rPr>
        <w:t xml:space="preserve">2. </w:t>
      </w:r>
      <w:r>
        <w:t>Pulse “Ejemplos presentados · iniciar”. Al aparecer el primer ítem puntuable se inicia automáticamente el cronómetro de 30 segundos.</w:t>
      </w:r>
    </w:p>
    <w:p>
      <w:pPr>
        <w:ind w:left="317" w:hanging="259"/>
      </w:pPr>
      <w:r>
        <w:rPr>
          <w:b/>
        </w:rPr>
        <w:t xml:space="preserve">3. </w:t>
      </w:r>
      <w:r>
        <w:t>Presente el estímulo con su definición y letras parciales. El cronometraje continúa aunque repita la pista o solicite una aclaración neutral.</w:t>
      </w:r>
    </w:p>
    <w:p>
      <w:pPr>
        <w:ind w:left="317" w:hanging="259"/>
      </w:pPr>
      <w:r>
        <w:rPr>
          <w:b/>
        </w:rPr>
        <w:t xml:space="preserve">4. </w:t>
      </w:r>
      <w:r>
        <w:t>Si el evaluado responde claramente antes de 30 segundos, registre la respuesta y asigne 1/0. No es necesario esperar hasta agotar el tiempo.</w:t>
      </w:r>
    </w:p>
    <w:p>
      <w:pPr>
        <w:ind w:left="317" w:hanging="259"/>
      </w:pPr>
      <w:r>
        <w:rPr>
          <w:b/>
        </w:rPr>
        <w:t xml:space="preserve">5. </w:t>
      </w:r>
      <w:r>
        <w:t>Si alcanza los 30 segundos sin respuesta puntuable, la app registra tiempo agotado y asigna 0. Una respuesta posterior al límite no recibe crédito.</w:t>
      </w:r>
    </w:p>
    <w:p>
      <w:pPr>
        <w:ind w:left="317" w:hanging="259"/>
      </w:pPr>
      <w:r>
        <w:rPr>
          <w:b/>
        </w:rPr>
        <w:t xml:space="preserve">6. </w:t>
      </w:r>
      <w:r>
        <w:t>Una autocorrección puede aceptarse si ocurre dentro de los 30 segundos y antes de pasar al siguiente ítem.</w:t>
      </w:r>
    </w:p>
    <w:p>
      <w:pPr>
        <w:ind w:left="317" w:hanging="259"/>
      </w:pPr>
      <w:r>
        <w:rPr>
          <w:b/>
        </w:rPr>
        <w:t xml:space="preserve">7. </w:t>
      </w:r>
      <w:r>
        <w:t>Los dos primeros ítems puntuables administrados son de aprendizaje y conservan la primera respuesta para puntuación.</w:t>
      </w:r>
    </w:p>
    <w:p>
      <w:pPr>
        <w:ind w:left="317" w:hanging="259"/>
      </w:pPr>
      <w:r>
        <w:rPr>
          <w:b/>
        </w:rPr>
        <w:t xml:space="preserve">8. </w:t>
      </w:r>
      <w:r>
        <w:t>Complete el primer bloque. La app aplicará continuidad, crédito previo o retorno según el resultado del bloque.</w:t>
      </w:r>
    </w:p>
    <w:p>
      <w:pPr>
        <w:ind w:left="317" w:hanging="259"/>
      </w:pPr>
      <w:r>
        <w:rPr>
          <w:b/>
        </w:rPr>
        <w:t xml:space="preserve">9. </w:t>
      </w:r>
      <w:r>
        <w:t>Continúe por bloques hasta que un bloque completo obtenga 0; entonces la app cerrará Definiciones.</w:t>
      </w:r>
    </w:p>
    <w:tbl>
      <w:tblPr>
        <w:tblW w:type="auto" w:w="0"/>
        <w:jc w:val="center"/>
        <w:tblLayout w:type="autofit"/>
        <w:tblLook w:firstColumn="1" w:firstRow="1" w:lastColumn="0" w:lastRow="0" w:noHBand="0" w:noVBand="1" w:val="04A0"/>
      </w:tblPr>
      <w:tblGrid>
        <w:gridCol w:w="10166"/>
      </w:tblGrid>
      <w:tr>
        <w:tc>
          <w:tcPr>
            <w:tcW w:type="dxa" w:w="10166"/>
            <w:shd w:fill="EAF3EF"/>
            <w:tcMar>
              <w:top w:w="120" w:type="dxa"/>
              <w:start w:w="140" w:type="dxa"/>
              <w:bottom w:w="120" w:type="dxa"/>
              <w:end w:w="140" w:type="dxa"/>
            </w:tcMar>
          </w:tcPr>
          <w:p>
            <w:r>
              <w:rPr>
                <w:b/>
                <w:color w:val="2F6459"/>
              </w:rPr>
              <w:t xml:space="preserve">Respuesta verbal. </w:t>
            </w:r>
            <w:r>
              <w:t>La tarea se administra en español en esta adaptación. Ante respuesta ambigua, solicite aclaración neutral; puntúe 1 solo si la respuesta final queda inequívocamente dentro del criterio.</w:t>
            </w:r>
          </w:p>
        </w:tc>
      </w:tr>
    </w:tbl>
    <w:p>
      <w:pPr>
        <w:spacing w:after="0"/>
      </w:pPr>
    </w:p>
    <w:p>
      <w:pPr>
        <w:pStyle w:val="Heading1"/>
      </w:pPr>
      <w:r>
        <w:t>8. Matrices: administración paso a paso</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val="true"/>
        </w:trPr>
        <w:tc>
          <w:tcPr>
            <w:tcW w:type="dxa" w:w="2160"/>
            <w:shd w:fill="DCE8E3"/>
            <w:vAlign w:val="center"/>
            <w:tcMar>
              <w:top w:w="80" w:type="dxa"/>
              <w:start w:w="100" w:type="dxa"/>
              <w:bottom w:w="80" w:type="dxa"/>
              <w:end w:w="100" w:type="dxa"/>
            </w:tcMar>
          </w:tcPr>
          <w:p>
            <w:pPr>
              <w:jc w:val="center"/>
            </w:pPr>
            <w:r>
              <w:rPr>
                <w:b/>
                <w:sz w:val="18"/>
              </w:rPr>
              <w:t>Edad</w:t>
            </w:r>
          </w:p>
        </w:tc>
        <w:tc>
          <w:tcPr>
            <w:tcW w:type="dxa" w:w="2016"/>
            <w:shd w:fill="DCE8E3"/>
            <w:vAlign w:val="center"/>
            <w:tcMar>
              <w:top w:w="80" w:type="dxa"/>
              <w:start w:w="100" w:type="dxa"/>
              <w:bottom w:w="80" w:type="dxa"/>
              <w:end w:w="100" w:type="dxa"/>
            </w:tcMar>
          </w:tcPr>
          <w:p>
            <w:pPr>
              <w:jc w:val="center"/>
            </w:pPr>
            <w:r>
              <w:rPr>
                <w:b/>
                <w:sz w:val="18"/>
              </w:rPr>
              <w:t>Ejemplo</w:t>
            </w:r>
          </w:p>
        </w:tc>
        <w:tc>
          <w:tcPr>
            <w:tcW w:type="dxa" w:w="4320"/>
            <w:shd w:fill="DCE8E3"/>
            <w:vAlign w:val="center"/>
            <w:tcMar>
              <w:top w:w="80" w:type="dxa"/>
              <w:start w:w="100" w:type="dxa"/>
              <w:bottom w:w="80" w:type="dxa"/>
              <w:end w:w="100" w:type="dxa"/>
            </w:tcMar>
          </w:tcPr>
          <w:p>
            <w:pPr>
              <w:jc w:val="center"/>
            </w:pPr>
            <w:r>
              <w:rPr>
                <w:b/>
                <w:sz w:val="18"/>
              </w:rPr>
              <w:t>Ruta puntuable</w:t>
            </w:r>
          </w:p>
        </w:tc>
      </w:tr>
      <w:tr>
        <w:trPr>
          <w:cantSplit w:val="true"/>
        </w:trPr>
        <w:tc>
          <w:tcPr>
            <w:tcW w:type="dxa" w:w="2160"/>
            <w:vAlign w:val="center"/>
            <w:tcMar>
              <w:top w:w="80" w:type="dxa"/>
              <w:start w:w="100" w:type="dxa"/>
              <w:bottom w:w="80" w:type="dxa"/>
              <w:end w:w="100" w:type="dxa"/>
            </w:tcMar>
          </w:tcPr>
          <w:p>
            <w:pPr>
              <w:spacing w:after="0"/>
            </w:pPr>
            <w:r>
              <w:rPr>
                <w:sz w:val="18"/>
              </w:rPr>
              <w:t>4-5 años</w:t>
            </w:r>
          </w:p>
        </w:tc>
        <w:tc>
          <w:tcPr>
            <w:tcW w:type="dxa" w:w="2016"/>
            <w:vAlign w:val="center"/>
            <w:tcMar>
              <w:top w:w="80" w:type="dxa"/>
              <w:start w:w="100" w:type="dxa"/>
              <w:bottom w:w="80" w:type="dxa"/>
              <w:end w:w="100" w:type="dxa"/>
            </w:tcMar>
          </w:tcPr>
          <w:p>
            <w:pPr>
              <w:spacing w:after="0"/>
            </w:pPr>
            <w:r>
              <w:rPr>
                <w:sz w:val="18"/>
              </w:rPr>
              <w:t>A</w:t>
            </w:r>
          </w:p>
        </w:tc>
        <w:tc>
          <w:tcPr>
            <w:tcW w:type="dxa" w:w="4320"/>
            <w:vAlign w:val="center"/>
            <w:tcMar>
              <w:top w:w="80" w:type="dxa"/>
              <w:start w:w="100" w:type="dxa"/>
              <w:bottom w:w="80" w:type="dxa"/>
              <w:end w:w="100" w:type="dxa"/>
            </w:tcMar>
          </w:tcPr>
          <w:p>
            <w:pPr>
              <w:spacing w:after="0"/>
            </w:pPr>
            <w:r>
              <w:rPr>
                <w:sz w:val="18"/>
              </w:rPr>
              <w:t>Ejemplo A → ítem 1</w:t>
            </w:r>
          </w:p>
        </w:tc>
      </w:tr>
      <w:tr>
        <w:trPr>
          <w:cantSplit w:val="true"/>
        </w:trPr>
        <w:tc>
          <w:tcPr>
            <w:tcW w:type="dxa" w:w="2160"/>
            <w:vAlign w:val="center"/>
            <w:tcMar>
              <w:top w:w="80" w:type="dxa"/>
              <w:start w:w="100" w:type="dxa"/>
              <w:bottom w:w="80" w:type="dxa"/>
              <w:end w:w="100" w:type="dxa"/>
            </w:tcMar>
          </w:tcPr>
          <w:p>
            <w:pPr>
              <w:spacing w:after="0"/>
            </w:pPr>
            <w:r>
              <w:rPr>
                <w:sz w:val="18"/>
              </w:rPr>
              <w:t>6-10 años</w:t>
            </w:r>
          </w:p>
        </w:tc>
        <w:tc>
          <w:tcPr>
            <w:tcW w:type="dxa" w:w="2016"/>
            <w:vAlign w:val="center"/>
            <w:tcMar>
              <w:top w:w="80" w:type="dxa"/>
              <w:start w:w="100" w:type="dxa"/>
              <w:bottom w:w="80" w:type="dxa"/>
              <w:end w:w="100" w:type="dxa"/>
            </w:tcMar>
          </w:tcPr>
          <w:p>
            <w:pPr>
              <w:spacing w:after="0"/>
            </w:pPr>
            <w:r>
              <w:rPr>
                <w:sz w:val="18"/>
              </w:rPr>
              <w:t>B</w:t>
            </w:r>
          </w:p>
        </w:tc>
        <w:tc>
          <w:tcPr>
            <w:tcW w:type="dxa" w:w="4320"/>
            <w:vAlign w:val="center"/>
            <w:tcMar>
              <w:top w:w="80" w:type="dxa"/>
              <w:start w:w="100" w:type="dxa"/>
              <w:bottom w:w="80" w:type="dxa"/>
              <w:end w:w="100" w:type="dxa"/>
            </w:tcMar>
          </w:tcPr>
          <w:p>
            <w:pPr>
              <w:spacing w:after="0"/>
            </w:pPr>
            <w:r>
              <w:rPr>
                <w:sz w:val="18"/>
              </w:rPr>
              <w:t>Ejemplo B → ítem 10</w:t>
            </w:r>
          </w:p>
        </w:tc>
      </w:tr>
      <w:tr>
        <w:trPr>
          <w:cantSplit w:val="true"/>
        </w:trPr>
        <w:tc>
          <w:tcPr>
            <w:tcW w:type="dxa" w:w="2160"/>
            <w:vAlign w:val="center"/>
            <w:tcMar>
              <w:top w:w="80" w:type="dxa"/>
              <w:start w:w="100" w:type="dxa"/>
              <w:bottom w:w="80" w:type="dxa"/>
              <w:end w:w="100" w:type="dxa"/>
            </w:tcMar>
          </w:tcPr>
          <w:p>
            <w:pPr>
              <w:spacing w:after="0"/>
            </w:pPr>
            <w:r>
              <w:rPr>
                <w:sz w:val="18"/>
              </w:rPr>
              <w:t>11-90 años</w:t>
            </w:r>
          </w:p>
        </w:tc>
        <w:tc>
          <w:tcPr>
            <w:tcW w:type="dxa" w:w="2016"/>
            <w:vAlign w:val="center"/>
            <w:tcMar>
              <w:top w:w="80" w:type="dxa"/>
              <w:start w:w="100" w:type="dxa"/>
              <w:bottom w:w="80" w:type="dxa"/>
              <w:end w:w="100" w:type="dxa"/>
            </w:tcMar>
          </w:tcPr>
          <w:p>
            <w:pPr>
              <w:spacing w:after="0"/>
            </w:pPr>
            <w:r>
              <w:rPr>
                <w:sz w:val="18"/>
              </w:rPr>
              <w:t>B</w:t>
            </w:r>
          </w:p>
        </w:tc>
        <w:tc>
          <w:tcPr>
            <w:tcW w:type="dxa" w:w="4320"/>
            <w:vAlign w:val="center"/>
            <w:tcMar>
              <w:top w:w="80" w:type="dxa"/>
              <w:start w:w="100" w:type="dxa"/>
              <w:bottom w:w="80" w:type="dxa"/>
              <w:end w:w="100" w:type="dxa"/>
            </w:tcMar>
          </w:tcPr>
          <w:p>
            <w:pPr>
              <w:spacing w:after="0"/>
            </w:pPr>
            <w:r>
              <w:rPr>
                <w:sz w:val="18"/>
              </w:rPr>
              <w:t>Ejemplo B correcto → 15; incorrecto → 10</w:t>
            </w:r>
          </w:p>
        </w:tc>
      </w:tr>
    </w:tbl>
    <w:p>
      <w:pPr>
        <w:spacing w:after="0"/>
      </w:pPr>
    </w:p>
    <w:p>
      <w:pPr>
        <w:ind w:left="317" w:hanging="259"/>
      </w:pPr>
      <w:r>
        <w:rPr>
          <w:b/>
        </w:rPr>
        <w:t xml:space="preserve">1. </w:t>
      </w:r>
      <w:r>
        <w:t>Abra Matrices. La app muestra el ejemplo que corresponde por edad.</w:t>
      </w:r>
    </w:p>
    <w:p>
      <w:pPr>
        <w:ind w:left="317" w:hanging="259"/>
      </w:pPr>
      <w:r>
        <w:rPr>
          <w:b/>
        </w:rPr>
        <w:t xml:space="preserve">2. </w:t>
      </w:r>
      <w:r>
        <w:t>Para 11-90 años, registre si el ejemplo B fue correcto o incorrecto. El ejemplo no suma puntaje; solamente define si el primer ítem puntuable será 15 o 10.</w:t>
      </w:r>
    </w:p>
    <w:p>
      <w:pPr>
        <w:ind w:left="317" w:hanging="259"/>
      </w:pPr>
      <w:r>
        <w:rPr>
          <w:b/>
        </w:rPr>
        <w:t xml:space="preserve">3. </w:t>
      </w:r>
      <w:r>
        <w:t>Presente el primer estímulo puntuable. El evaluado puede señalar o indicar verbalmente la alternativa.</w:t>
      </w:r>
    </w:p>
    <w:p>
      <w:pPr>
        <w:ind w:left="317" w:hanging="259"/>
      </w:pPr>
      <w:r>
        <w:rPr>
          <w:b/>
        </w:rPr>
        <w:t xml:space="preserve">4. </w:t>
      </w:r>
      <w:r>
        <w:t>Registre A-H en la app. La selección se contrasta con la clave profesional de trabajo y se asigna 1/0.</w:t>
      </w:r>
    </w:p>
    <w:p>
      <w:pPr>
        <w:ind w:left="317" w:hanging="259"/>
      </w:pPr>
      <w:r>
        <w:rPr>
          <w:b/>
        </w:rPr>
        <w:t xml:space="preserve">5. </w:t>
      </w:r>
      <w:r>
        <w:t>Los dos primeros ítems puntuables después del ejemplo son de aprendizaje. La primera selección es la que cuenta para puntuar.</w:t>
      </w:r>
    </w:p>
    <w:p>
      <w:pPr>
        <w:ind w:left="317" w:hanging="259"/>
      </w:pPr>
      <w:r>
        <w:rPr>
          <w:b/>
        </w:rPr>
        <w:t xml:space="preserve">6. </w:t>
      </w:r>
      <w:r>
        <w:t>Complete todo el primer bloque y permita que la app decida continuidad, crédito o retorno.</w:t>
      </w:r>
    </w:p>
    <w:p>
      <w:pPr>
        <w:ind w:left="317" w:hanging="259"/>
      </w:pPr>
      <w:r>
        <w:rPr>
          <w:b/>
        </w:rPr>
        <w:t xml:space="preserve">7. </w:t>
      </w:r>
      <w:r>
        <w:t>Continúe por bloques. Un bloque completo en 0 activa discontinuación. No hay límite específico de tiempo por ítem.</w:t>
      </w:r>
    </w:p>
    <w:p>
      <w:pPr>
        <w:pStyle w:val="Heading1"/>
      </w:pPr>
      <w:r>
        <w:t>9. Cuando aparece RETORNO</w:t>
      </w:r>
    </w:p>
    <w:p>
      <w:r>
        <w:t>El retorno se activa cuando el punto de inicio era posterior al ítem 1 y el primer bloque tuvo menos de dos aciertos. La app salta al ítem 1 y conserva el resultado del bloque inicial para decidir qué hacer cuando el retorno lo alcance nuevamente.</w:t>
      </w:r>
    </w:p>
    <w:p>
      <w:pPr>
        <w:pStyle w:val="ListBullet"/>
      </w:pPr>
      <w:r>
        <w:t>Administre los bloques desde el ítem 1 en orden ascendente.</w:t>
      </w:r>
    </w:p>
    <w:p>
      <w:pPr>
        <w:pStyle w:val="ListBullet"/>
      </w:pPr>
      <w:r>
        <w:t>Si durante el retorno un bloque queda completamente en 0, la prueba termina allí.</w:t>
      </w:r>
    </w:p>
    <w:p>
      <w:pPr>
        <w:pStyle w:val="ListBullet"/>
      </w:pPr>
      <w:r>
        <w:t>Si el retorno alcanza el bloque inicial y aquel bloque tenía 1 acierto, se conserva ese acierto y se continúa después del bloque.</w:t>
      </w:r>
    </w:p>
    <w:p>
      <w:pPr>
        <w:pStyle w:val="ListBullet"/>
      </w:pPr>
      <w:r>
        <w:t>Si el bloque inicial había tenido 0 aciertos, la app se detiene al alcanzarlo porque ese bloque ya satisface discontinuación.</w:t>
      </w:r>
    </w:p>
    <w:p>
      <w:pPr>
        <w:pStyle w:val="ListBullet"/>
      </w:pPr>
      <w:r>
        <w:t>Si el retorno termina antes de alcanzar el punto inicial original, el intervalo no administrado NO recibe crédito. La puntuación directa se basa en los aciertos realmente obtenidos.</w:t>
      </w:r>
    </w:p>
    <w:tbl>
      <w:tblPr>
        <w:tblW w:type="auto" w:w="0"/>
        <w:jc w:val="center"/>
        <w:tblLayout w:type="autofit"/>
        <w:tblLook w:firstColumn="1" w:firstRow="1" w:lastColumn="0" w:lastRow="0" w:noHBand="0" w:noVBand="1" w:val="04A0"/>
      </w:tblPr>
      <w:tblGrid>
        <w:gridCol w:w="10166"/>
      </w:tblGrid>
      <w:tr>
        <w:tc>
          <w:tcPr>
            <w:tcW w:type="dxa" w:w="10166"/>
            <w:shd w:fill="FFF7E6"/>
            <w:tcMar>
              <w:top w:w="120" w:type="dxa"/>
              <w:start w:w="140" w:type="dxa"/>
              <w:bottom w:w="120" w:type="dxa"/>
              <w:end w:w="140" w:type="dxa"/>
            </w:tcMar>
          </w:tcPr>
          <w:p>
            <w:r>
              <w:rPr>
                <w:b/>
                <w:color w:val="7B5A23"/>
              </w:rPr>
              <w:t xml:space="preserve">Desviación clínica excepcional. </w:t>
            </w:r>
            <w:r>
              <w:t>El manual contempla que un profesional experimentado pueda modificar un punto de retorno o iniciar más abajo por razones clínicas fundadas. La app no lo hace silenciosamente: use “Registrar desviación clínica”, describa la razón y considérela al interpretar el resultado.</w:t>
            </w:r>
          </w:p>
        </w:tc>
      </w:tr>
    </w:tbl>
    <w:p>
      <w:pPr>
        <w:spacing w:after="0"/>
      </w:pPr>
    </w:p>
    <w:p>
      <w:r>
        <w:br w:type="page"/>
      </w:r>
    </w:p>
    <w:p>
      <w:pPr>
        <w:pStyle w:val="Heading1"/>
      </w:pPr>
      <w:r>
        <w:t>10. Ítems de aprendizaje: qué puede y qué no puede hacer</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val="true"/>
        </w:trPr>
        <w:tc>
          <w:tcPr>
            <w:tcW w:type="dxa" w:w="2448"/>
            <w:shd w:fill="DCE8E3"/>
            <w:vAlign w:val="center"/>
            <w:tcMar>
              <w:top w:w="80" w:type="dxa"/>
              <w:start w:w="100" w:type="dxa"/>
              <w:bottom w:w="80" w:type="dxa"/>
              <w:end w:w="100" w:type="dxa"/>
            </w:tcMar>
          </w:tcPr>
          <w:p>
            <w:pPr>
              <w:jc w:val="center"/>
            </w:pPr>
            <w:r>
              <w:rPr>
                <w:b/>
                <w:sz w:val="18"/>
              </w:rPr>
              <w:t>Subprueba</w:t>
            </w:r>
          </w:p>
        </w:tc>
        <w:tc>
          <w:tcPr>
            <w:tcW w:type="dxa" w:w="3744"/>
            <w:shd w:fill="DCE8E3"/>
            <w:vAlign w:val="center"/>
            <w:tcMar>
              <w:top w:w="80" w:type="dxa"/>
              <w:start w:w="100" w:type="dxa"/>
              <w:bottom w:w="80" w:type="dxa"/>
              <w:end w:w="100" w:type="dxa"/>
            </w:tcMar>
          </w:tcPr>
          <w:p>
            <w:pPr>
              <w:jc w:val="center"/>
            </w:pPr>
            <w:r>
              <w:rPr>
                <w:b/>
                <w:sz w:val="18"/>
              </w:rPr>
              <w:t>Aprendizaje</w:t>
            </w:r>
          </w:p>
        </w:tc>
        <w:tc>
          <w:tcPr>
            <w:tcW w:type="dxa" w:w="3600"/>
            <w:shd w:fill="DCE8E3"/>
            <w:vAlign w:val="center"/>
            <w:tcMar>
              <w:top w:w="80" w:type="dxa"/>
              <w:start w:w="100" w:type="dxa"/>
              <w:bottom w:w="80" w:type="dxa"/>
              <w:end w:w="100" w:type="dxa"/>
            </w:tcMar>
          </w:tcPr>
          <w:p>
            <w:pPr>
              <w:jc w:val="center"/>
            </w:pPr>
            <w:r>
              <w:rPr>
                <w:b/>
                <w:sz w:val="18"/>
              </w:rPr>
              <w:t>Cómo se puntúa</w:t>
            </w:r>
          </w:p>
        </w:tc>
      </w:tr>
      <w:tr>
        <w:trPr>
          <w:cantSplit w:val="true"/>
        </w:trPr>
        <w:tc>
          <w:tcPr>
            <w:tcW w:type="dxa" w:w="2448"/>
            <w:vAlign w:val="center"/>
            <w:tcMar>
              <w:top w:w="80" w:type="dxa"/>
              <w:start w:w="100" w:type="dxa"/>
              <w:bottom w:w="80" w:type="dxa"/>
              <w:end w:w="100" w:type="dxa"/>
            </w:tcMar>
          </w:tcPr>
          <w:p>
            <w:pPr>
              <w:spacing w:after="0"/>
            </w:pPr>
            <w:r>
              <w:rPr>
                <w:sz w:val="18"/>
              </w:rPr>
              <w:t>Vocabulario expresivo</w:t>
            </w:r>
          </w:p>
        </w:tc>
        <w:tc>
          <w:tcPr>
            <w:tcW w:type="dxa" w:w="3744"/>
            <w:vAlign w:val="center"/>
            <w:tcMar>
              <w:top w:w="80" w:type="dxa"/>
              <w:start w:w="100" w:type="dxa"/>
              <w:bottom w:w="80" w:type="dxa"/>
              <w:end w:w="100" w:type="dxa"/>
            </w:tcMar>
          </w:tcPr>
          <w:p>
            <w:pPr>
              <w:spacing w:after="0"/>
            </w:pPr>
            <w:r>
              <w:rPr>
                <w:sz w:val="18"/>
              </w:rPr>
              <w:t>Los 2 primeros ítems realmente administrados</w:t>
            </w:r>
          </w:p>
        </w:tc>
        <w:tc>
          <w:tcPr>
            <w:tcW w:type="dxa" w:w="3600"/>
            <w:vAlign w:val="center"/>
            <w:tcMar>
              <w:top w:w="80" w:type="dxa"/>
              <w:start w:w="100" w:type="dxa"/>
              <w:bottom w:w="80" w:type="dxa"/>
              <w:end w:w="100" w:type="dxa"/>
            </w:tcMar>
          </w:tcPr>
          <w:p>
            <w:pPr>
              <w:spacing w:after="0"/>
            </w:pPr>
            <w:r>
              <w:rPr>
                <w:sz w:val="18"/>
              </w:rPr>
              <w:t>Cuenta la primera respuesta puntuable</w:t>
            </w:r>
          </w:p>
        </w:tc>
      </w:tr>
      <w:tr>
        <w:trPr>
          <w:cantSplit w:val="true"/>
        </w:trPr>
        <w:tc>
          <w:tcPr>
            <w:tcW w:type="dxa" w:w="2448"/>
            <w:vAlign w:val="center"/>
            <w:tcMar>
              <w:top w:w="80" w:type="dxa"/>
              <w:start w:w="100" w:type="dxa"/>
              <w:bottom w:w="80" w:type="dxa"/>
              <w:end w:w="100" w:type="dxa"/>
            </w:tcMar>
          </w:tcPr>
          <w:p>
            <w:pPr>
              <w:spacing w:after="0"/>
            </w:pPr>
            <w:r>
              <w:rPr>
                <w:sz w:val="18"/>
              </w:rPr>
              <w:t>Definiciones</w:t>
            </w:r>
          </w:p>
        </w:tc>
        <w:tc>
          <w:tcPr>
            <w:tcW w:type="dxa" w:w="3744"/>
            <w:vAlign w:val="center"/>
            <w:tcMar>
              <w:top w:w="80" w:type="dxa"/>
              <w:start w:w="100" w:type="dxa"/>
              <w:bottom w:w="80" w:type="dxa"/>
              <w:end w:w="100" w:type="dxa"/>
            </w:tcMar>
          </w:tcPr>
          <w:p>
            <w:pPr>
              <w:spacing w:after="0"/>
            </w:pPr>
            <w:r>
              <w:rPr>
                <w:sz w:val="18"/>
              </w:rPr>
              <w:t>Ejemplos A/B + los 2 primeros ítems puntuables</w:t>
            </w:r>
          </w:p>
        </w:tc>
        <w:tc>
          <w:tcPr>
            <w:tcW w:type="dxa" w:w="3600"/>
            <w:vAlign w:val="center"/>
            <w:tcMar>
              <w:top w:w="80" w:type="dxa"/>
              <w:start w:w="100" w:type="dxa"/>
              <w:bottom w:w="80" w:type="dxa"/>
              <w:end w:w="100" w:type="dxa"/>
            </w:tcMar>
          </w:tcPr>
          <w:p>
            <w:pPr>
              <w:spacing w:after="0"/>
            </w:pPr>
            <w:r>
              <w:rPr>
                <w:sz w:val="18"/>
              </w:rPr>
              <w:t>Los ejemplos enseñan la tarea; en los ítems puntuables cuenta la primera respuesta</w:t>
            </w:r>
          </w:p>
        </w:tc>
      </w:tr>
      <w:tr>
        <w:trPr>
          <w:cantSplit w:val="true"/>
        </w:trPr>
        <w:tc>
          <w:tcPr>
            <w:tcW w:type="dxa" w:w="2448"/>
            <w:vAlign w:val="center"/>
            <w:tcMar>
              <w:top w:w="80" w:type="dxa"/>
              <w:start w:w="100" w:type="dxa"/>
              <w:bottom w:w="80" w:type="dxa"/>
              <w:end w:w="100" w:type="dxa"/>
            </w:tcMar>
          </w:tcPr>
          <w:p>
            <w:pPr>
              <w:spacing w:after="0"/>
            </w:pPr>
            <w:r>
              <w:rPr>
                <w:sz w:val="18"/>
              </w:rPr>
              <w:t>Matrices</w:t>
            </w:r>
          </w:p>
        </w:tc>
        <w:tc>
          <w:tcPr>
            <w:tcW w:type="dxa" w:w="3744"/>
            <w:vAlign w:val="center"/>
            <w:tcMar>
              <w:top w:w="80" w:type="dxa"/>
              <w:start w:w="100" w:type="dxa"/>
              <w:bottom w:w="80" w:type="dxa"/>
              <w:end w:w="100" w:type="dxa"/>
            </w:tcMar>
          </w:tcPr>
          <w:p>
            <w:pPr>
              <w:spacing w:after="0"/>
            </w:pPr>
            <w:r>
              <w:rPr>
                <w:sz w:val="18"/>
              </w:rPr>
              <w:t>Ejemplo según edad + los 2 primeros ítems puntuables</w:t>
            </w:r>
          </w:p>
        </w:tc>
        <w:tc>
          <w:tcPr>
            <w:tcW w:type="dxa" w:w="3600"/>
            <w:vAlign w:val="center"/>
            <w:tcMar>
              <w:top w:w="80" w:type="dxa"/>
              <w:start w:w="100" w:type="dxa"/>
              <w:bottom w:w="80" w:type="dxa"/>
              <w:end w:w="100" w:type="dxa"/>
            </w:tcMar>
          </w:tcPr>
          <w:p>
            <w:pPr>
              <w:spacing w:after="0"/>
            </w:pPr>
            <w:r>
              <w:rPr>
                <w:sz w:val="18"/>
              </w:rPr>
              <w:t>Cuenta la primera selección puntuable</w:t>
            </w:r>
          </w:p>
        </w:tc>
      </w:tr>
    </w:tbl>
    <w:p>
      <w:pPr>
        <w:spacing w:after="0"/>
      </w:pPr>
    </w:p>
    <w:p>
      <w:r>
        <w:t>La explicación posterior puede asegurar comprensión de la tarea, pero no convierte un error inicial en acierto. Si hubo un error de digitación del evaluador, utilice la opción de corrección de registro; no la use para sustituir la respuesta real del examinado.</w:t>
      </w:r>
    </w:p>
    <w:p>
      <w:pPr>
        <w:pStyle w:val="Heading1"/>
      </w:pPr>
      <w:r>
        <w:t>11. Aclaraciones, repeticiones y respuestas especiales</w:t>
      </w:r>
    </w:p>
    <w:p>
      <w:r>
        <w:rPr>
          <w:b/>
        </w:rPr>
        <w:t xml:space="preserve">Respuesta ambigua: </w:t>
      </w:r>
      <w:r>
        <w:t>Pida una aclaración neutral. Solo otorgue 1 si la respuesta final queda inequívocamente correcta.</w:t>
      </w:r>
    </w:p>
    <w:p>
      <w:r>
        <w:rPr>
          <w:b/>
        </w:rPr>
        <w:t xml:space="preserve">Varias respuestas: </w:t>
      </w:r>
      <w:r>
        <w:t>Si no está claro cuál es definitiva, solicite elegir una. Si una respuesta posterior sustituye claramente a las anteriores, puntúe la última.</w:t>
      </w:r>
    </w:p>
    <w:p>
      <w:r>
        <w:rPr>
          <w:b/>
        </w:rPr>
        <w:t xml:space="preserve">Repetición de instrucción: </w:t>
      </w:r>
      <w:r>
        <w:t>Puede repetir la instrucción cuando no responde o parece no haber comprendido, sin convertirla en una pista adicional.</w:t>
      </w:r>
    </w:p>
    <w:p>
      <w:r>
        <w:rPr>
          <w:b/>
        </w:rPr>
        <w:t xml:space="preserve">Información de corrección: </w:t>
      </w:r>
      <w:r>
        <w:t>Fuera de aprendizaje no indique si la respuesta fue correcta o incorrecta.</w:t>
      </w:r>
    </w:p>
    <w:p>
      <w:r>
        <w:rPr>
          <w:b/>
        </w:rPr>
        <w:t xml:space="preserve">Reaplicación clínica excepcional: </w:t>
      </w:r>
      <w:r>
        <w:t>En Vocabulario expresivo y ocasionalmente Matrices puede documentarse una repetición excepcional por razones clínicas claramente justificadas. Use el botón de reaplicación: la app conserva respuesta y puntaje originales, registra motivo, respuesta repetida y puntaje repetido, y no modifica silenciosamente el puntaje estándar. Definiciones queda excluida por ser cronometrada.</w:t>
      </w:r>
    </w:p>
    <w:p>
      <w:r>
        <w:rPr>
          <w:b/>
        </w:rPr>
        <w:t xml:space="preserve">Pronunciación en Vocabulario: </w:t>
      </w:r>
      <w:r>
        <w:t>No penalice pronunciación imperfecta si la palabra es inequívocamente reconocible.</w:t>
      </w:r>
    </w:p>
    <w:p>
      <w:r>
        <w:rPr>
          <w:b/>
        </w:rPr>
        <w:t xml:space="preserve">Definiciones: </w:t>
      </w:r>
      <w:r>
        <w:t>No exige deletreo perfecto; la palabra producida debe ser valorable dentro de la pista y del tiempo.</w:t>
      </w:r>
    </w:p>
    <w:p>
      <w:pPr>
        <w:pStyle w:val="Heading1"/>
      </w:pPr>
      <w:r>
        <w:t>12. Cómo leer la pantalla de Aplicación</w:t>
      </w:r>
    </w:p>
    <w:tbl>
      <w:tblPr>
        <w:tblStyle w:val="TableGrid"/>
        <w:tblW w:type="auto" w:w="0"/>
        <w:jc w:val="center"/>
        <w:tblLook w:firstColumn="1" w:firstRow="1" w:lastColumn="0" w:lastRow="0" w:noHBand="0" w:noVBand="1" w:val="04A0"/>
      </w:tblPr>
      <w:tblGrid>
        <w:gridCol w:w="5083"/>
        <w:gridCol w:w="5083"/>
      </w:tblGrid>
      <w:tr>
        <w:trPr>
          <w:tblHeader w:val="true"/>
          <w:cantSplit w:val="true"/>
        </w:trPr>
        <w:tc>
          <w:tcPr>
            <w:tcW w:type="dxa" w:w="2880"/>
            <w:shd w:fill="DCE8E3"/>
            <w:vAlign w:val="center"/>
            <w:tcMar>
              <w:top w:w="80" w:type="dxa"/>
              <w:start w:w="100" w:type="dxa"/>
              <w:bottom w:w="80" w:type="dxa"/>
              <w:end w:w="100" w:type="dxa"/>
            </w:tcMar>
          </w:tcPr>
          <w:p>
            <w:pPr>
              <w:jc w:val="center"/>
            </w:pPr>
            <w:r>
              <w:rPr>
                <w:b/>
                <w:sz w:val="18"/>
              </w:rPr>
              <w:t>Elemento</w:t>
            </w:r>
          </w:p>
        </w:tc>
        <w:tc>
          <w:tcPr>
            <w:tcW w:type="dxa" w:w="6912"/>
            <w:shd w:fill="DCE8E3"/>
            <w:vAlign w:val="center"/>
            <w:tcMar>
              <w:top w:w="80" w:type="dxa"/>
              <w:start w:w="100" w:type="dxa"/>
              <w:bottom w:w="80" w:type="dxa"/>
              <w:end w:w="100" w:type="dxa"/>
            </w:tcMar>
          </w:tcPr>
          <w:p>
            <w:pPr>
              <w:jc w:val="center"/>
            </w:pPr>
            <w:r>
              <w:rPr>
                <w:b/>
                <w:sz w:val="18"/>
              </w:rPr>
              <w:t>Qué significa / qué hacer</w:t>
            </w:r>
          </w:p>
        </w:tc>
      </w:tr>
      <w:tr>
        <w:trPr>
          <w:cantSplit w:val="true"/>
        </w:trPr>
        <w:tc>
          <w:tcPr>
            <w:tcW w:type="dxa" w:w="2880"/>
            <w:vAlign w:val="center"/>
            <w:tcMar>
              <w:top w:w="80" w:type="dxa"/>
              <w:start w:w="100" w:type="dxa"/>
              <w:bottom w:w="80" w:type="dxa"/>
              <w:end w:w="100" w:type="dxa"/>
            </w:tcMar>
          </w:tcPr>
          <w:p>
            <w:pPr>
              <w:spacing w:after="0"/>
            </w:pPr>
            <w:r>
              <w:rPr>
                <w:sz w:val="18"/>
              </w:rPr>
              <w:t>Modo foco</w:t>
            </w:r>
          </w:p>
        </w:tc>
        <w:tc>
          <w:tcPr>
            <w:tcW w:type="dxa" w:w="6912"/>
            <w:vAlign w:val="center"/>
            <w:tcMar>
              <w:top w:w="80" w:type="dxa"/>
              <w:start w:w="100" w:type="dxa"/>
              <w:bottom w:w="80" w:type="dxa"/>
              <w:end w:w="100" w:type="dxa"/>
            </w:tcMar>
          </w:tcPr>
          <w:p>
            <w:pPr>
              <w:spacing w:after="0"/>
            </w:pPr>
            <w:r>
              <w:rPr>
                <w:sz w:val="18"/>
              </w:rPr>
              <w:t>Oculta navegación secundaria para reducir carga visual durante la administración.</w:t>
            </w:r>
          </w:p>
        </w:tc>
      </w:tr>
      <w:tr>
        <w:trPr>
          <w:cantSplit w:val="true"/>
        </w:trPr>
        <w:tc>
          <w:tcPr>
            <w:tcW w:type="dxa" w:w="2880"/>
            <w:vAlign w:val="center"/>
            <w:tcMar>
              <w:top w:w="80" w:type="dxa"/>
              <w:start w:w="100" w:type="dxa"/>
              <w:bottom w:w="80" w:type="dxa"/>
              <w:end w:w="100" w:type="dxa"/>
            </w:tcMar>
          </w:tcPr>
          <w:p>
            <w:pPr>
              <w:spacing w:after="0"/>
            </w:pPr>
            <w:r>
              <w:rPr>
                <w:sz w:val="18"/>
              </w:rPr>
              <w:t>Visor limpio</w:t>
            </w:r>
          </w:p>
        </w:tc>
        <w:tc>
          <w:tcPr>
            <w:tcW w:type="dxa" w:w="6912"/>
            <w:vAlign w:val="center"/>
            <w:tcMar>
              <w:top w:w="80" w:type="dxa"/>
              <w:start w:w="100" w:type="dxa"/>
              <w:bottom w:w="80" w:type="dxa"/>
              <w:end w:w="100" w:type="dxa"/>
            </w:tcMar>
          </w:tcPr>
          <w:p>
            <w:pPr>
              <w:spacing w:after="0"/>
            </w:pPr>
            <w:r>
              <w:rPr>
                <w:sz w:val="18"/>
              </w:rPr>
              <w:t>Muestra únicamente el estímulo en otra ventana; la clave profesional no se transmite al evaluado.</w:t>
            </w:r>
          </w:p>
        </w:tc>
      </w:tr>
      <w:tr>
        <w:trPr>
          <w:cantSplit w:val="true"/>
        </w:trPr>
        <w:tc>
          <w:tcPr>
            <w:tcW w:type="dxa" w:w="2880"/>
            <w:vAlign w:val="center"/>
            <w:tcMar>
              <w:top w:w="80" w:type="dxa"/>
              <w:start w:w="100" w:type="dxa"/>
              <w:bottom w:w="80" w:type="dxa"/>
              <w:end w:w="100" w:type="dxa"/>
            </w:tcMar>
          </w:tcPr>
          <w:p>
            <w:pPr>
              <w:spacing w:after="0"/>
            </w:pPr>
            <w:r>
              <w:rPr>
                <w:sz w:val="18"/>
              </w:rPr>
              <w:t>Estado PRIMER BLOQUE / RETORNO / AVANCE</w:t>
            </w:r>
          </w:p>
        </w:tc>
        <w:tc>
          <w:tcPr>
            <w:tcW w:type="dxa" w:w="6912"/>
            <w:vAlign w:val="center"/>
            <w:tcMar>
              <w:top w:w="80" w:type="dxa"/>
              <w:start w:w="100" w:type="dxa"/>
              <w:bottom w:w="80" w:type="dxa"/>
              <w:end w:w="100" w:type="dxa"/>
            </w:tcMar>
          </w:tcPr>
          <w:p>
            <w:pPr>
              <w:spacing w:after="0"/>
            </w:pPr>
            <w:r>
              <w:rPr>
                <w:sz w:val="18"/>
              </w:rPr>
              <w:t>Indica la fase protocolaria actual.</w:t>
            </w:r>
          </w:p>
        </w:tc>
      </w:tr>
      <w:tr>
        <w:trPr>
          <w:cantSplit w:val="true"/>
        </w:trPr>
        <w:tc>
          <w:tcPr>
            <w:tcW w:type="dxa" w:w="2880"/>
            <w:vAlign w:val="center"/>
            <w:tcMar>
              <w:top w:w="80" w:type="dxa"/>
              <w:start w:w="100" w:type="dxa"/>
              <w:bottom w:w="80" w:type="dxa"/>
              <w:end w:w="100" w:type="dxa"/>
            </w:tcMar>
          </w:tcPr>
          <w:p>
            <w:pPr>
              <w:spacing w:after="0"/>
            </w:pPr>
            <w:r>
              <w:rPr>
                <w:sz w:val="18"/>
              </w:rPr>
              <w:t>Mapa rápido</w:t>
            </w:r>
          </w:p>
        </w:tc>
        <w:tc>
          <w:tcPr>
            <w:tcW w:type="dxa" w:w="6912"/>
            <w:vAlign w:val="center"/>
            <w:tcMar>
              <w:top w:w="80" w:type="dxa"/>
              <w:start w:w="100" w:type="dxa"/>
              <w:bottom w:w="80" w:type="dxa"/>
              <w:end w:w="100" w:type="dxa"/>
            </w:tcMar>
          </w:tcPr>
          <w:p>
            <w:pPr>
              <w:spacing w:after="0"/>
            </w:pPr>
            <w:r>
              <w:rPr>
                <w:sz w:val="18"/>
              </w:rPr>
              <w:t>Muestra ítems ya administrados, créditos y posición actual. Solo permite volver a reactivos compatibles con la ruta registrada.</w:t>
            </w:r>
          </w:p>
        </w:tc>
      </w:tr>
      <w:tr>
        <w:trPr>
          <w:cantSplit w:val="true"/>
        </w:trPr>
        <w:tc>
          <w:tcPr>
            <w:tcW w:type="dxa" w:w="2880"/>
            <w:vAlign w:val="center"/>
            <w:tcMar>
              <w:top w:w="80" w:type="dxa"/>
              <w:start w:w="100" w:type="dxa"/>
              <w:bottom w:w="80" w:type="dxa"/>
              <w:end w:w="100" w:type="dxa"/>
            </w:tcMar>
          </w:tcPr>
          <w:p>
            <w:pPr>
              <w:spacing w:after="0"/>
            </w:pPr>
            <w:r>
              <w:rPr>
                <w:sz w:val="18"/>
              </w:rPr>
              <w:t>Clave profesional</w:t>
            </w:r>
          </w:p>
        </w:tc>
        <w:tc>
          <w:tcPr>
            <w:tcW w:type="dxa" w:w="6912"/>
            <w:vAlign w:val="center"/>
            <w:tcMar>
              <w:top w:w="80" w:type="dxa"/>
              <w:start w:w="100" w:type="dxa"/>
              <w:bottom w:w="80" w:type="dxa"/>
              <w:end w:w="100" w:type="dxa"/>
            </w:tcMar>
          </w:tcPr>
          <w:p>
            <w:pPr>
              <w:spacing w:after="0"/>
            </w:pPr>
            <w:r>
              <w:rPr>
                <w:sz w:val="18"/>
              </w:rPr>
              <w:t>Solo visible al evaluador. En verbal funciona como apoyo; no sustituye criterios de equivalencia.</w:t>
            </w:r>
          </w:p>
        </w:tc>
      </w:tr>
      <w:tr>
        <w:trPr>
          <w:cantSplit w:val="true"/>
        </w:trPr>
        <w:tc>
          <w:tcPr>
            <w:tcW w:type="dxa" w:w="2880"/>
            <w:vAlign w:val="center"/>
            <w:tcMar>
              <w:top w:w="80" w:type="dxa"/>
              <w:start w:w="100" w:type="dxa"/>
              <w:bottom w:w="80" w:type="dxa"/>
              <w:end w:w="100" w:type="dxa"/>
            </w:tcMar>
          </w:tcPr>
          <w:p>
            <w:pPr>
              <w:spacing w:after="0"/>
            </w:pPr>
            <w:r>
              <w:rPr>
                <w:sz w:val="18"/>
              </w:rPr>
              <w:t>Cronómetro Definiciones</w:t>
            </w:r>
          </w:p>
        </w:tc>
        <w:tc>
          <w:tcPr>
            <w:tcW w:type="dxa" w:w="6912"/>
            <w:vAlign w:val="center"/>
            <w:tcMar>
              <w:top w:w="80" w:type="dxa"/>
              <w:start w:w="100" w:type="dxa"/>
              <w:bottom w:w="80" w:type="dxa"/>
              <w:end w:w="100" w:type="dxa"/>
            </w:tcMar>
          </w:tcPr>
          <w:p>
            <w:pPr>
              <w:spacing w:after="0"/>
            </w:pPr>
            <w:r>
              <w:rPr>
                <w:sz w:val="18"/>
              </w:rPr>
              <w:t>30 s desde la presentación del ítem. No reiniciar con repeticiones o aclaraciones.</w:t>
            </w:r>
          </w:p>
        </w:tc>
      </w:tr>
      <w:tr>
        <w:trPr>
          <w:cantSplit w:val="true"/>
        </w:trPr>
        <w:tc>
          <w:tcPr>
            <w:tcW w:type="dxa" w:w="2880"/>
            <w:vAlign w:val="center"/>
            <w:tcMar>
              <w:top w:w="80" w:type="dxa"/>
              <w:start w:w="100" w:type="dxa"/>
              <w:bottom w:w="80" w:type="dxa"/>
              <w:end w:w="100" w:type="dxa"/>
            </w:tcMar>
          </w:tcPr>
          <w:p>
            <w:pPr>
              <w:spacing w:after="0"/>
            </w:pPr>
            <w:r>
              <w:rPr>
                <w:sz w:val="18"/>
              </w:rPr>
              <w:t>Registrar desviación clínica</w:t>
            </w:r>
          </w:p>
        </w:tc>
        <w:tc>
          <w:tcPr>
            <w:tcW w:type="dxa" w:w="6912"/>
            <w:vAlign w:val="center"/>
            <w:tcMar>
              <w:top w:w="80" w:type="dxa"/>
              <w:start w:w="100" w:type="dxa"/>
              <w:bottom w:w="80" w:type="dxa"/>
              <w:end w:w="100" w:type="dxa"/>
            </w:tcMar>
          </w:tcPr>
          <w:p>
            <w:pPr>
              <w:spacing w:after="0"/>
            </w:pPr>
            <w:r>
              <w:rPr>
                <w:sz w:val="18"/>
              </w:rPr>
              <w:t>Crea un evento auditable; úselo cuando se aparta de la ruta estándar por una razón profesional.</w:t>
            </w:r>
          </w:p>
        </w:tc>
      </w:tr>
      <w:tr>
        <w:trPr>
          <w:cantSplit w:val="true"/>
        </w:trPr>
        <w:tc>
          <w:tcPr>
            <w:tcW w:type="dxa" w:w="2880"/>
            <w:vAlign w:val="center"/>
            <w:tcMar>
              <w:top w:w="80" w:type="dxa"/>
              <w:start w:w="100" w:type="dxa"/>
              <w:bottom w:w="80" w:type="dxa"/>
              <w:end w:w="100" w:type="dxa"/>
            </w:tcMar>
          </w:tcPr>
          <w:p>
            <w:pPr>
              <w:spacing w:after="0"/>
            </w:pPr>
            <w:r>
              <w:rPr>
                <w:sz w:val="18"/>
              </w:rPr>
              <w:t>Registrar reaplicación clínica excepcional</w:t>
            </w:r>
          </w:p>
        </w:tc>
        <w:tc>
          <w:tcPr>
            <w:tcW w:type="dxa" w:w="6912"/>
            <w:vAlign w:val="center"/>
            <w:tcMar>
              <w:top w:w="80" w:type="dxa"/>
              <w:start w:w="100" w:type="dxa"/>
              <w:bottom w:w="80" w:type="dxa"/>
              <w:end w:w="100" w:type="dxa"/>
            </w:tcMar>
          </w:tcPr>
          <w:p>
            <w:pPr>
              <w:spacing w:after="0"/>
            </w:pPr>
            <w:r>
              <w:rPr>
                <w:sz w:val="18"/>
              </w:rPr>
              <w:t>Disponible en Vocabulario/Matrices ya puntuados. Conserva el registro original y añade motivo, respuesta y puntuación repetida; el impacto final exige revisión profesional.</w:t>
            </w:r>
          </w:p>
        </w:tc>
      </w:tr>
    </w:tbl>
    <w:p>
      <w:pPr>
        <w:spacing w:after="0"/>
      </w:pPr>
    </w:p>
    <w:p>
      <w:pPr>
        <w:pStyle w:val="Heading1"/>
      </w:pPr>
      <w:r>
        <w:t>13. Revisión y cierre de la puntuación</w:t>
      </w:r>
    </w:p>
    <w:p>
      <w:pPr>
        <w:ind w:left="317" w:hanging="259"/>
      </w:pPr>
      <w:r>
        <w:rPr>
          <w:b/>
        </w:rPr>
        <w:t xml:space="preserve">1. </w:t>
      </w:r>
      <w:r>
        <w:t>Abra Revisión y compruebe que las subpruebas que corresponden por edad están completas.</w:t>
      </w:r>
    </w:p>
    <w:p>
      <w:pPr>
        <w:ind w:left="317" w:hanging="259"/>
      </w:pPr>
      <w:r>
        <w:rPr>
          <w:b/>
        </w:rPr>
        <w:t xml:space="preserve">2. </w:t>
      </w:r>
      <w:r>
        <w:t>Revise puntuaciones directas automáticas, créditos previos y reactivos no administrados.</w:t>
      </w:r>
    </w:p>
    <w:p>
      <w:pPr>
        <w:ind w:left="317" w:hanging="259"/>
      </w:pPr>
      <w:r>
        <w:rPr>
          <w:b/>
        </w:rPr>
        <w:t xml:space="preserve">3. </w:t>
      </w:r>
      <w:r>
        <w:t>Examine la trazabilidad: inicio oficial, primer bloque, número de aciertos, retorno, crédito y bloque/razón de terminación.</w:t>
      </w:r>
    </w:p>
    <w:p>
      <w:pPr>
        <w:ind w:left="317" w:hanging="259"/>
      </w:pPr>
      <w:r>
        <w:rPr>
          <w:b/>
        </w:rPr>
        <w:t xml:space="preserve">4. </w:t>
      </w:r>
      <w:r>
        <w:t>Confirme tiempos agotados en Definiciones y cualquier desviación clínica registrada.</w:t>
      </w:r>
    </w:p>
    <w:p>
      <w:pPr>
        <w:ind w:left="317" w:hanging="259"/>
      </w:pPr>
      <w:r>
        <w:rPr>
          <w:b/>
        </w:rPr>
        <w:t xml:space="preserve">5. </w:t>
      </w:r>
      <w:r>
        <w:t>Use una anulación manual de puntuación solo como corrección profesional excepcional y documente la razón obligatoriamente.</w:t>
      </w:r>
    </w:p>
    <w:p>
      <w:pPr>
        <w:ind w:left="317" w:hanging="259"/>
      </w:pPr>
      <w:r>
        <w:rPr>
          <w:b/>
        </w:rPr>
        <w:t xml:space="preserve">6. </w:t>
      </w:r>
      <w:r>
        <w:t>Seleccione el nivel de confianza para la interpretación y continúe a Resultados.</w:t>
      </w:r>
    </w:p>
    <w:p>
      <w:pPr>
        <w:pStyle w:val="Heading1"/>
      </w:pPr>
      <w:r>
        <w:t>14. Resultados e informes</w:t>
      </w:r>
    </w:p>
    <w:p>
      <w:r>
        <w:t>La aplicación transforma las puntuaciones directas con las tablas normativas incorporadas y presenta puntuaciones típicas, percentiles, categorías descriptivas, eneatipos, intervalos de confianza, CI compuesto y comparación entre Vocabulario y Matrices. El informe técnico incorpora la trazabilidad de administración y las incidencias; el contextualizado integra datos psicométricos con el motivo y contexto del caso sin convertir asociaciones en causalidad.</w:t>
      </w:r>
    </w:p>
    <w:tbl>
      <w:tblPr>
        <w:tblStyle w:val="TableGrid"/>
        <w:tblW w:type="auto" w:w="0"/>
        <w:jc w:val="center"/>
        <w:tblLook w:firstColumn="1" w:firstRow="1" w:lastColumn="0" w:lastRow="0" w:noHBand="0" w:noVBand="1" w:val="04A0"/>
      </w:tblPr>
      <w:tblGrid>
        <w:gridCol w:w="5083"/>
        <w:gridCol w:w="5083"/>
      </w:tblGrid>
      <w:tr>
        <w:trPr>
          <w:tblHeader w:val="true"/>
          <w:cantSplit w:val="true"/>
        </w:trPr>
        <w:tc>
          <w:tcPr>
            <w:tcW w:type="dxa" w:w="2880"/>
            <w:shd w:fill="DCE8E3"/>
            <w:vAlign w:val="center"/>
            <w:tcMar>
              <w:top w:w="80" w:type="dxa"/>
              <w:start w:w="100" w:type="dxa"/>
              <w:bottom w:w="80" w:type="dxa"/>
              <w:end w:w="100" w:type="dxa"/>
            </w:tcMar>
          </w:tcPr>
          <w:p>
            <w:pPr>
              <w:jc w:val="center"/>
            </w:pPr>
            <w:r>
              <w:rPr>
                <w:b/>
                <w:sz w:val="18"/>
              </w:rPr>
              <w:t>Salida</w:t>
            </w:r>
          </w:p>
        </w:tc>
        <w:tc>
          <w:tcPr>
            <w:tcW w:type="dxa" w:w="6912"/>
            <w:shd w:fill="DCE8E3"/>
            <w:vAlign w:val="center"/>
            <w:tcMar>
              <w:top w:w="80" w:type="dxa"/>
              <w:start w:w="100" w:type="dxa"/>
              <w:bottom w:w="80" w:type="dxa"/>
              <w:end w:w="100" w:type="dxa"/>
            </w:tcMar>
          </w:tcPr>
          <w:p>
            <w:pPr>
              <w:jc w:val="center"/>
            </w:pPr>
            <w:r>
              <w:rPr>
                <w:b/>
                <w:sz w:val="18"/>
              </w:rPr>
              <w:t>Contenido</w:t>
            </w:r>
          </w:p>
        </w:tc>
      </w:tr>
      <w:tr>
        <w:trPr>
          <w:cantSplit w:val="true"/>
        </w:trPr>
        <w:tc>
          <w:tcPr>
            <w:tcW w:type="dxa" w:w="2880"/>
            <w:vAlign w:val="center"/>
            <w:tcMar>
              <w:top w:w="80" w:type="dxa"/>
              <w:start w:w="100" w:type="dxa"/>
              <w:bottom w:w="80" w:type="dxa"/>
              <w:end w:w="100" w:type="dxa"/>
            </w:tcMar>
          </w:tcPr>
          <w:p>
            <w:pPr>
              <w:spacing w:after="0"/>
            </w:pPr>
            <w:r>
              <w:rPr>
                <w:sz w:val="18"/>
              </w:rPr>
              <w:t>Informe técnico</w:t>
            </w:r>
          </w:p>
        </w:tc>
        <w:tc>
          <w:tcPr>
            <w:tcW w:type="dxa" w:w="6912"/>
            <w:vAlign w:val="center"/>
            <w:tcMar>
              <w:top w:w="80" w:type="dxa"/>
              <w:start w:w="100" w:type="dxa"/>
              <w:bottom w:w="80" w:type="dxa"/>
              <w:end w:w="100" w:type="dxa"/>
            </w:tcMar>
          </w:tcPr>
          <w:p>
            <w:pPr>
              <w:spacing w:after="0"/>
            </w:pPr>
            <w:r>
              <w:rPr>
                <w:sz w:val="18"/>
              </w:rPr>
              <w:t>Identificación, motivo, procedimiento, trazabilidad, puntuaciones directas y típicas, percentiles, IC, perfil, comparación, síntesis, limitaciones y recomendaciones.</w:t>
            </w:r>
          </w:p>
        </w:tc>
      </w:tr>
      <w:tr>
        <w:trPr>
          <w:cantSplit w:val="true"/>
        </w:trPr>
        <w:tc>
          <w:tcPr>
            <w:tcW w:type="dxa" w:w="2880"/>
            <w:vAlign w:val="center"/>
            <w:tcMar>
              <w:top w:w="80" w:type="dxa"/>
              <w:start w:w="100" w:type="dxa"/>
              <w:bottom w:w="80" w:type="dxa"/>
              <w:end w:w="100" w:type="dxa"/>
            </w:tcMar>
          </w:tcPr>
          <w:p>
            <w:pPr>
              <w:spacing w:after="0"/>
            </w:pPr>
            <w:r>
              <w:rPr>
                <w:sz w:val="18"/>
              </w:rPr>
              <w:t>Informe contextualizado</w:t>
            </w:r>
          </w:p>
        </w:tc>
        <w:tc>
          <w:tcPr>
            <w:tcW w:type="dxa" w:w="6912"/>
            <w:vAlign w:val="center"/>
            <w:tcMar>
              <w:top w:w="80" w:type="dxa"/>
              <w:start w:w="100" w:type="dxa"/>
              <w:bottom w:w="80" w:type="dxa"/>
              <w:end w:w="100" w:type="dxa"/>
            </w:tcMar>
          </w:tcPr>
          <w:p>
            <w:pPr>
              <w:spacing w:after="0"/>
            </w:pPr>
            <w:r>
              <w:rPr>
                <w:sz w:val="18"/>
              </w:rPr>
              <w:t>Mismo núcleo psicométrico + antecedentes y condiciones asociadas + hipótesis interpretativas prudentes adaptadas al contexto.</w:t>
            </w:r>
          </w:p>
        </w:tc>
      </w:tr>
      <w:tr>
        <w:trPr>
          <w:cantSplit w:val="true"/>
        </w:trPr>
        <w:tc>
          <w:tcPr>
            <w:tcW w:type="dxa" w:w="2880"/>
            <w:vAlign w:val="center"/>
            <w:tcMar>
              <w:top w:w="80" w:type="dxa"/>
              <w:start w:w="100" w:type="dxa"/>
              <w:bottom w:w="80" w:type="dxa"/>
              <w:end w:w="100" w:type="dxa"/>
            </w:tcMar>
          </w:tcPr>
          <w:p>
            <w:pPr>
              <w:spacing w:after="0"/>
            </w:pPr>
            <w:r>
              <w:rPr>
                <w:sz w:val="18"/>
              </w:rPr>
              <w:t>Protocolo digital</w:t>
            </w:r>
          </w:p>
        </w:tc>
        <w:tc>
          <w:tcPr>
            <w:tcW w:type="dxa" w:w="6912"/>
            <w:vAlign w:val="center"/>
            <w:tcMar>
              <w:top w:w="80" w:type="dxa"/>
              <w:start w:w="100" w:type="dxa"/>
              <w:bottom w:w="80" w:type="dxa"/>
              <w:end w:w="100" w:type="dxa"/>
            </w:tcMar>
          </w:tcPr>
          <w:p>
            <w:pPr>
              <w:spacing w:after="0"/>
            </w:pPr>
            <w:r>
              <w:rPr>
                <w:sz w:val="18"/>
              </w:rPr>
              <w:t>Registro ítem por ítem, respuesta, estado 1/0/crédito/no administrado, tiempo y observaciones.</w:t>
            </w:r>
          </w:p>
        </w:tc>
      </w:tr>
      <w:tr>
        <w:trPr>
          <w:cantSplit w:val="true"/>
        </w:trPr>
        <w:tc>
          <w:tcPr>
            <w:tcW w:type="dxa" w:w="2880"/>
            <w:vAlign w:val="center"/>
            <w:tcMar>
              <w:top w:w="80" w:type="dxa"/>
              <w:start w:w="100" w:type="dxa"/>
              <w:bottom w:w="80" w:type="dxa"/>
              <w:end w:w="100" w:type="dxa"/>
            </w:tcMar>
          </w:tcPr>
          <w:p>
            <w:pPr>
              <w:spacing w:after="0"/>
            </w:pPr>
            <w:r>
              <w:rPr>
                <w:sz w:val="18"/>
              </w:rPr>
              <w:t>Expediente integrado</w:t>
            </w:r>
          </w:p>
        </w:tc>
        <w:tc>
          <w:tcPr>
            <w:tcW w:type="dxa" w:w="6912"/>
            <w:vAlign w:val="center"/>
            <w:tcMar>
              <w:top w:w="80" w:type="dxa"/>
              <w:start w:w="100" w:type="dxa"/>
              <w:bottom w:w="80" w:type="dxa"/>
              <w:end w:w="100" w:type="dxa"/>
            </w:tcMar>
          </w:tcPr>
          <w:p>
            <w:pPr>
              <w:spacing w:after="0"/>
            </w:pPr>
            <w:r>
              <w:rPr>
                <w:sz w:val="18"/>
              </w:rPr>
              <w:t>Informe técnico + contextual + protocolo digital en un solo HTML.</w:t>
            </w:r>
          </w:p>
        </w:tc>
      </w:tr>
      <w:tr>
        <w:trPr>
          <w:cantSplit w:val="true"/>
        </w:trPr>
        <w:tc>
          <w:tcPr>
            <w:tcW w:type="dxa" w:w="2880"/>
            <w:vAlign w:val="center"/>
            <w:tcMar>
              <w:top w:w="80" w:type="dxa"/>
              <w:start w:w="100" w:type="dxa"/>
              <w:bottom w:w="80" w:type="dxa"/>
              <w:end w:w="100" w:type="dxa"/>
            </w:tcMar>
          </w:tcPr>
          <w:p>
            <w:pPr>
              <w:spacing w:after="0"/>
            </w:pPr>
            <w:r>
              <w:rPr>
                <w:sz w:val="18"/>
              </w:rPr>
              <w:t>Plantilla original de respuestas</w:t>
            </w:r>
          </w:p>
        </w:tc>
        <w:tc>
          <w:tcPr>
            <w:tcW w:type="dxa" w:w="6912"/>
            <w:vAlign w:val="center"/>
            <w:tcMar>
              <w:top w:w="80" w:type="dxa"/>
              <w:start w:w="100" w:type="dxa"/>
              <w:bottom w:w="80" w:type="dxa"/>
              <w:end w:w="100" w:type="dxa"/>
            </w:tcMar>
          </w:tcPr>
          <w:p>
            <w:pPr>
              <w:spacing w:after="0"/>
            </w:pPr>
            <w:r>
              <w:rPr>
                <w:sz w:val="18"/>
              </w:rPr>
              <w:t>PDF aportado, descargable como anexo documental.</w:t>
            </w:r>
          </w:p>
        </w:tc>
      </w:tr>
    </w:tbl>
    <w:p>
      <w:pPr>
        <w:spacing w:after="0"/>
      </w:pPr>
    </w:p>
    <w:p>
      <w:pPr>
        <w:pStyle w:val="Heading1"/>
      </w:pPr>
      <w:r>
        <w:t>15. Checklist antes de cerrar el caso</w:t>
      </w:r>
    </w:p>
    <w:p>
      <w:r>
        <w:rPr>
          <w:b/>
        </w:rPr>
        <w:t xml:space="preserve">☐ </w:t>
      </w:r>
      <w:r>
        <w:t>Verifiqué que el instrumento es K-BIT clásico español.</w:t>
      </w:r>
    </w:p>
    <w:p>
      <w:r>
        <w:rPr>
          <w:b/>
        </w:rPr>
        <w:t xml:space="preserve">☐ </w:t>
      </w:r>
      <w:r>
        <w:t>La fecha de aplicación corresponde al primer día del examen y la edad fue calculada.</w:t>
      </w:r>
    </w:p>
    <w:p>
      <w:r>
        <w:rPr>
          <w:b/>
        </w:rPr>
        <w:t xml:space="preserve">☐ </w:t>
      </w:r>
      <w:r>
        <w:t>El punto de inicio por edad/ruta de ejemplo fue seleccionado correctamente.</w:t>
      </w:r>
    </w:p>
    <w:p>
      <w:r>
        <w:rPr>
          <w:b/>
        </w:rPr>
        <w:t xml:space="preserve">☐ </w:t>
      </w:r>
      <w:r>
        <w:t>Presenté ejemplos e ítems de aprendizaje cuando correspondía.</w:t>
      </w:r>
    </w:p>
    <w:p>
      <w:r>
        <w:rPr>
          <w:b/>
        </w:rPr>
        <w:t xml:space="preserve">☐ </w:t>
      </w:r>
      <w:r>
        <w:t>Conservé la primera respuesta para puntuar los ítems de aprendizaje.</w:t>
      </w:r>
    </w:p>
    <w:p>
      <w:r>
        <w:rPr>
          <w:b/>
        </w:rPr>
        <w:t xml:space="preserve">☐ </w:t>
      </w:r>
      <w:r>
        <w:t>Completé el primer bloque antes de aceptar la decisión de continuar/retornar/terminar.</w:t>
      </w:r>
    </w:p>
    <w:p>
      <w:r>
        <w:rPr>
          <w:b/>
        </w:rPr>
        <w:t xml:space="preserve">☐ </w:t>
      </w:r>
      <w:r>
        <w:t>Si hubo menos de 2 aciertos con inicio posterior a 1, se aplicó retorno.</w:t>
      </w:r>
    </w:p>
    <w:p>
      <w:r>
        <w:rPr>
          <w:b/>
        </w:rPr>
        <w:t xml:space="preserve">☐ </w:t>
      </w:r>
      <w:r>
        <w:t>La discontinuación se produjo únicamente ante un bloque completo de 0.</w:t>
      </w:r>
    </w:p>
    <w:p>
      <w:r>
        <w:rPr>
          <w:b/>
        </w:rPr>
        <w:t xml:space="preserve">☐ </w:t>
      </w:r>
      <w:r>
        <w:t>En Definiciones se respetaron 30 s sin reiniciar el cronómetro.</w:t>
      </w:r>
    </w:p>
    <w:p>
      <w:r>
        <w:rPr>
          <w:b/>
        </w:rPr>
        <w:t xml:space="preserve">☐ </w:t>
      </w:r>
      <w:r>
        <w:t>No se puntuaron reactivos posteriores a una discontinuación válida.</w:t>
      </w:r>
    </w:p>
    <w:p>
      <w:r>
        <w:rPr>
          <w:b/>
        </w:rPr>
        <w:t xml:space="preserve">☐ </w:t>
      </w:r>
      <w:r>
        <w:t>Se registraron aclaraciones, incidencias o desviaciones clínicas.</w:t>
      </w:r>
    </w:p>
    <w:p>
      <w:r>
        <w:rPr>
          <w:b/>
        </w:rPr>
        <w:t xml:space="preserve">☐ </w:t>
      </w:r>
      <w:r>
        <w:t>La puntuación y el informe fueron revisados junto con el contexto y otras fuentes cuando la decisión lo exige.</w:t>
      </w:r>
    </w:p>
    <w:p>
      <w:pPr>
        <w:pStyle w:val="Heading1"/>
      </w:pPr>
      <w:r>
        <w:t>16. Trazabilidad de los estímulos sustitutivos</w:t>
      </w:r>
    </w:p>
    <w:p>
      <w:r>
        <w:t>El PDF fuente aportado no contenía VE-2 (Tenedor), VE-3 (Rana) ni DEF-27 (Conversación). En esta versión ya no aparecen como faltantes: se incorporaron estímulos sustitutivos generados y aprobados por el usuario, optimizados para web/tablet y marcados en el manifiesto como sustitutos para mantener trazabilidad. Si cualquiera de estos ítems fue realmente administrado, el informe técnico puede consignar la incidencia de formato cuando sea relevante para la interpretación.</w:t>
      </w:r>
    </w:p>
    <w:p>
      <w:pPr>
        <w:pStyle w:val="Heading1"/>
      </w:pPr>
      <w:r>
        <w:t>17. Fuente procedimental y límite de uso</w:t>
      </w:r>
    </w:p>
    <w:p>
      <w:r>
        <w:t>Las reglas automatizadas se derivan del documento de auditoría profesional “K-BIT - Reglas de administración, inicio, retorno, crédito basal operativo, discontinuación y puntuación”, fechado 31 de agosto de 2026 y limitado al K-BIT clásico español. La aplicación conserva una copia del documento fuente en docs/originales/. El software sirve como apoyo de administración, registro, puntuación e informe; no sustituye el juicio profesional ni el manual autorizado del instrumento.</w:t>
      </w:r>
    </w:p>
    <w:sectPr w:rsidR="00FC693F" w:rsidRPr="0006063C" w:rsidSect="00034616">
      <w:headerReference w:type="default" r:id="rId9"/>
      <w:footerReference w:type="default" r:id="rId10"/>
      <w:pgSz w:w="12240" w:h="15840"/>
      <w:pgMar w:top="936" w:right="1037" w:bottom="936" w:left="1037"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864"/>
        <w:sz w:val="15"/>
      </w:rPr>
      <w:t>Uso profesional · K-BIT clásico, adaptación española · La app no sustituye el manual autorizado del instrumento.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864"/>
        <w:sz w:val="16"/>
      </w:rPr>
      <w:t>K-BIT PROTOCOLO COGNITIVO · MANUAL DEL EVALUADOR · v0.7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F645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2F6459"/>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2F645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evaluador - K-BIT Protocolo Cognitivo v0.7</dc:title>
  <dc:subject>Administración protocolizada paso a paso del K-BIT clásico español</dc:subject>
  <dc:creator>K-BIT Protocolo Cognitivo</dc:creator>
  <cp:keywords>K-BIT, manual del evaluador, administración, protocolo, psicometría</cp:keywords>
  <dc:description>generated by python-docx</dc:description>
  <cp:lastModifiedBy/>
  <cp:revision>1</cp:revision>
  <dcterms:created xsi:type="dcterms:W3CDTF">2013-12-23T23:15:00Z</dcterms:created>
  <dcterms:modified xsi:type="dcterms:W3CDTF">2013-12-23T23:15:00Z</dcterms:modified>
  <cp:category/>
</cp:coreProperties>
</file>