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MANUAL DEL EVALUADOR</w:t>
      </w:r>
    </w:p>
    <w:p>
      <w:pPr>
        <w:jc w:val="center"/>
      </w:pPr>
      <w:r>
        <w:rPr>
          <w:b/>
          <w:sz w:val="30"/>
        </w:rPr>
        <w:t>K-BIT Protocolo Cognitivo v0.8.0</w:t>
      </w:r>
    </w:p>
    <w:p>
      <w:pPr>
        <w:jc w:val="center"/>
      </w:pPr>
      <w:r>
        <w:rPr>
          <w:i/>
        </w:rPr>
        <w:t>Guía paso a paso para aplicación, registro, puntuación e informes</w:t>
      </w:r>
    </w:p>
    <w:p>
      <w:pPr>
        <w:pStyle w:val="IntenseQuote"/>
      </w:pPr>
      <w:r>
        <w:rPr>
          <w:b/>
        </w:rPr>
        <w:t xml:space="preserve">Principio de privacidad durante la aplicación. </w:t>
      </w:r>
      <w:r>
        <w:t>La vista compartida con el evaluado debe permanecer en Presentación discreta. En ese modo la aplicación no muestra 0/1, palabras “correcta/incorrecta”, claves profesionales, conteos de aciertos ni mensajes de corrección. El evaluador registra la puntuación de forma privada mediante teclado o abre el panel completo solo cuando la pantalla no está a la vista del evaluado.</w:t>
      </w:r>
    </w:p>
    <w:p>
      <w:pPr>
        <w:pStyle w:val="Heading1"/>
      </w:pPr>
      <w:r>
        <w:t>1. Antes de comenzar</w:t>
      </w:r>
    </w:p>
    <w:p>
      <w:pPr>
        <w:pStyle w:val="ListNumber"/>
      </w:pPr>
      <w:r>
        <w:t>Verifique que el material corresponde al K-BIT clásico español y no a KBIT-2/KBIT-2 Revised.</w:t>
      </w:r>
    </w:p>
    <w:p>
      <w:pPr>
        <w:pStyle w:val="ListNumber"/>
      </w:pPr>
      <w:r>
        <w:t>Registre los datos reales del evaluado, fecha de nacimiento y fecha de aplicación. La app calcula la edad y selecciona el baremo.</w:t>
      </w:r>
    </w:p>
    <w:p>
      <w:pPr>
        <w:pStyle w:val="ListNumber"/>
      </w:pPr>
      <w:r>
        <w:t>Registre motivo y contexto de evaluación. Los datos identificables permanecen localmente; el paquete para IA utiliza alias.</w:t>
      </w:r>
    </w:p>
    <w:p>
      <w:pPr>
        <w:pStyle w:val="ListNumber"/>
      </w:pPr>
      <w:r>
        <w:t>Coloque la pantalla de forma que el evaluado vea el estímulo con claridad. Mantenga la corrección fuera de su vista.</w:t>
      </w:r>
    </w:p>
    <w:p>
      <w:pPr>
        <w:pStyle w:val="ListNumber"/>
      </w:pPr>
      <w:r>
        <w:t>Active Presentación discreta antes de girar o compartir la pantalla con el evaluado.</w:t>
      </w:r>
    </w:p>
    <w:p>
      <w:pPr>
        <w:pStyle w:val="Heading2"/>
      </w:pPr>
      <w:r>
        <w:t>Presentación discreta y panel del evaluador</w:t>
      </w:r>
    </w:p>
    <w:p>
      <w:pPr>
        <w:pStyle w:val="ListBullet"/>
      </w:pPr>
      <w:r>
        <w:t>Presentación discreta es el modo recomendado durante toda la administración.</w:t>
      </w:r>
    </w:p>
    <w:p>
      <w:pPr>
        <w:pStyle w:val="ListBullet"/>
      </w:pPr>
      <w:r>
        <w:t>No aparecen 0/1, claves, “correcta/incorrecta”, estadísticas de aciertos, baremo ni mensajes que permitan inferir desempeño.</w:t>
      </w:r>
    </w:p>
    <w:p>
      <w:pPr>
        <w:pStyle w:val="ListBullet"/>
      </w:pPr>
      <w:r>
        <w:t>En respuestas verbales, transcriba la respuesta y puntúe privadamente con Alt+1 o Alt+0. Estos atajos funcionan incluso mientras el cursor permanece en el campo de respuesta.</w:t>
      </w:r>
    </w:p>
    <w:p>
      <w:pPr>
        <w:pStyle w:val="ListBullet"/>
      </w:pPr>
      <w:r>
        <w:t>Alt+N registra una incidencia/no administrado. En Matrices también puede usar las teclas A-H cuando el foco no está dentro de un campo de texto.</w:t>
      </w:r>
    </w:p>
    <w:p>
      <w:pPr>
        <w:pStyle w:val="ListBullet"/>
      </w:pPr>
      <w:r>
        <w:t>El indicador visible solo informa “Registro guardado”; nunca revela el valor asignado.</w:t>
      </w:r>
    </w:p>
    <w:p>
      <w:pPr>
        <w:pStyle w:val="ListBullet"/>
      </w:pPr>
      <w:r>
        <w:t>Use el botón de candado para abrir el panel completo únicamente cuando el evaluado no pueda verlo.</w:t>
      </w:r>
    </w:p>
    <w:p>
      <w:pPr>
        <w:pStyle w:val="Heading1"/>
      </w:pPr>
      <w:r>
        <w:t>2. Vocabulario expresivo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DCE8E3"/>
            <w:vAlign w:val="center"/>
          </w:tcPr>
          <w:p>
            <w:r>
              <w:rPr>
                <w:b/>
              </w:rPr>
              <w:t>Edad</w:t>
            </w:r>
          </w:p>
        </w:tc>
        <w:tc>
          <w:tcPr>
            <w:tcW w:type="dxa" w:w="5100"/>
            <w:shd w:fill="DCE8E3"/>
            <w:vAlign w:val="center"/>
          </w:tcPr>
          <w:p>
            <w:r>
              <w:rPr>
                <w:b/>
              </w:rPr>
              <w:t>Inicio</w:t>
            </w:r>
          </w:p>
        </w:tc>
      </w:tr>
      <w:tr>
        <w:tc>
          <w:tcPr>
            <w:tcW w:type="dxa" w:w="5100"/>
          </w:tcPr>
          <w:p>
            <w:r>
              <w:t>4-5 años</w:t>
            </w:r>
          </w:p>
        </w:tc>
        <w:tc>
          <w:tcPr>
            <w:tcW w:type="dxa" w:w="5100"/>
          </w:tcPr>
          <w:p>
            <w:r>
              <w:t>Ítem 1</w:t>
            </w:r>
          </w:p>
        </w:tc>
      </w:tr>
      <w:tr>
        <w:tc>
          <w:tcPr>
            <w:tcW w:type="dxa" w:w="5100"/>
          </w:tcPr>
          <w:p>
            <w:r>
              <w:t>6 años</w:t>
            </w:r>
          </w:p>
        </w:tc>
        <w:tc>
          <w:tcPr>
            <w:tcW w:type="dxa" w:w="5100"/>
          </w:tcPr>
          <w:p>
            <w:r>
              <w:t>Ítem 6</w:t>
            </w:r>
          </w:p>
        </w:tc>
      </w:tr>
      <w:tr>
        <w:tc>
          <w:tcPr>
            <w:tcW w:type="dxa" w:w="5100"/>
          </w:tcPr>
          <w:p>
            <w:r>
              <w:t>7 años</w:t>
            </w:r>
          </w:p>
        </w:tc>
        <w:tc>
          <w:tcPr>
            <w:tcW w:type="dxa" w:w="5100"/>
          </w:tcPr>
          <w:p>
            <w:r>
              <w:t>Ítem 11</w:t>
            </w:r>
          </w:p>
        </w:tc>
      </w:tr>
      <w:tr>
        <w:tc>
          <w:tcPr>
            <w:tcW w:type="dxa" w:w="5100"/>
          </w:tcPr>
          <w:p>
            <w:r>
              <w:t>8 años</w:t>
            </w:r>
          </w:p>
        </w:tc>
        <w:tc>
          <w:tcPr>
            <w:tcW w:type="dxa" w:w="5100"/>
          </w:tcPr>
          <w:p>
            <w:r>
              <w:t>Ítem 16</w:t>
            </w:r>
          </w:p>
        </w:tc>
      </w:tr>
      <w:tr>
        <w:tc>
          <w:tcPr>
            <w:tcW w:type="dxa" w:w="5100"/>
          </w:tcPr>
          <w:p>
            <w:r>
              <w:t>9-10 años</w:t>
            </w:r>
          </w:p>
        </w:tc>
        <w:tc>
          <w:tcPr>
            <w:tcW w:type="dxa" w:w="5100"/>
          </w:tcPr>
          <w:p>
            <w:r>
              <w:t>Ítem 21</w:t>
            </w:r>
          </w:p>
        </w:tc>
      </w:tr>
      <w:tr>
        <w:tc>
          <w:tcPr>
            <w:tcW w:type="dxa" w:w="5100"/>
          </w:tcPr>
          <w:p>
            <w:r>
              <w:t>11-12 años</w:t>
            </w:r>
          </w:p>
        </w:tc>
        <w:tc>
          <w:tcPr>
            <w:tcW w:type="dxa" w:w="5100"/>
          </w:tcPr>
          <w:p>
            <w:r>
              <w:t>Ítem 26</w:t>
            </w:r>
          </w:p>
        </w:tc>
      </w:tr>
      <w:tr>
        <w:tc>
          <w:tcPr>
            <w:tcW w:type="dxa" w:w="5100"/>
          </w:tcPr>
          <w:p>
            <w:r>
              <w:t>13-90 años</w:t>
            </w:r>
          </w:p>
        </w:tc>
        <w:tc>
          <w:tcPr>
            <w:tcW w:type="dxa" w:w="5100"/>
          </w:tcPr>
          <w:p>
            <w:r>
              <w:t>Ítem 31</w:t>
            </w:r>
          </w:p>
        </w:tc>
      </w:tr>
    </w:tbl>
    <w:p>
      <w:pPr>
        <w:pStyle w:val="ListNumber"/>
      </w:pPr>
      <w:r>
        <w:t>La app sitúa automáticamente el primer ítem según la edad.</w:t>
      </w:r>
    </w:p>
    <w:p>
      <w:pPr>
        <w:pStyle w:val="ListNumber"/>
      </w:pPr>
      <w:r>
        <w:t>Los dos primeros ítems realmente administrados son de aprendizaje. Cuenta la primera respuesta para la puntuación.</w:t>
      </w:r>
    </w:p>
    <w:p>
      <w:pPr>
        <w:pStyle w:val="ListNumber"/>
      </w:pPr>
      <w:r>
        <w:t>Complete el primer bloque antes de decidir continuidad. No utilice una regla de fallos consecutivos.</w:t>
      </w:r>
    </w:p>
    <w:p>
      <w:pPr>
        <w:pStyle w:val="ListNumber"/>
      </w:pPr>
      <w:r>
        <w:t>Si la respuesta es ambigua, puede pedir una aclaración neutral sin sugerir la solución.</w:t>
      </w:r>
    </w:p>
    <w:p>
      <w:pPr>
        <w:pStyle w:val="ListNumber"/>
      </w:pPr>
      <w:r>
        <w:t>En Presentación discreta, transcriba la respuesta y use Alt+1 o Alt+0. El evaluado no ve la corrección.</w:t>
      </w:r>
    </w:p>
    <w:p>
      <w:pPr>
        <w:pStyle w:val="Heading1"/>
      </w:pPr>
      <w:r>
        <w:t>3. Definiciones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DCE8E3"/>
            <w:vAlign w:val="center"/>
          </w:tcPr>
          <w:p>
            <w:r>
              <w:rPr>
                <w:b/>
              </w:rPr>
              <w:t>Edad</w:t>
            </w:r>
          </w:p>
        </w:tc>
        <w:tc>
          <w:tcPr>
            <w:tcW w:type="dxa" w:w="5100"/>
            <w:shd w:fill="DCE8E3"/>
            <w:vAlign w:val="center"/>
          </w:tcPr>
          <w:p>
            <w:r>
              <w:rPr>
                <w:b/>
              </w:rPr>
              <w:t>Ruta</w:t>
            </w:r>
          </w:p>
        </w:tc>
      </w:tr>
      <w:tr>
        <w:tc>
          <w:tcPr>
            <w:tcW w:type="dxa" w:w="5100"/>
          </w:tcPr>
          <w:p>
            <w:r>
              <w:t>4-7 años</w:t>
            </w:r>
          </w:p>
        </w:tc>
        <w:tc>
          <w:tcPr>
            <w:tcW w:type="dxa" w:w="5100"/>
          </w:tcPr>
          <w:p>
            <w:r>
              <w:t>No administrar</w:t>
            </w:r>
          </w:p>
        </w:tc>
      </w:tr>
      <w:tr>
        <w:tc>
          <w:tcPr>
            <w:tcW w:type="dxa" w:w="5100"/>
          </w:tcPr>
          <w:p>
            <w:r>
              <w:t>8-14 años</w:t>
            </w:r>
          </w:p>
        </w:tc>
        <w:tc>
          <w:tcPr>
            <w:tcW w:type="dxa" w:w="5100"/>
          </w:tcPr>
          <w:p>
            <w:r>
              <w:t>Ejemplos A/B → ítem 1</w:t>
            </w:r>
          </w:p>
        </w:tc>
      </w:tr>
      <w:tr>
        <w:tc>
          <w:tcPr>
            <w:tcW w:type="dxa" w:w="5100"/>
          </w:tcPr>
          <w:p>
            <w:r>
              <w:t>15-90 años</w:t>
            </w:r>
          </w:p>
        </w:tc>
        <w:tc>
          <w:tcPr>
            <w:tcW w:type="dxa" w:w="5100"/>
          </w:tcPr>
          <w:p>
            <w:r>
              <w:t>Ejemplos A/B → ítem 6</w:t>
            </w:r>
          </w:p>
        </w:tc>
      </w:tr>
    </w:tbl>
    <w:p>
      <w:pPr>
        <w:pStyle w:val="ListNumber"/>
      </w:pPr>
      <w:r>
        <w:t>Presente los ejemplos A y B antes de comenzar los ítems puntuables.</w:t>
      </w:r>
    </w:p>
    <w:p>
      <w:pPr>
        <w:pStyle w:val="ListNumber"/>
      </w:pPr>
      <w:r>
        <w:t>La app inicia un cronómetro de 30 segundos por ítem. Repetir la pista no reinicia ni pausa el conteo.</w:t>
      </w:r>
    </w:p>
    <w:p>
      <w:pPr>
        <w:pStyle w:val="ListNumber"/>
      </w:pPr>
      <w:r>
        <w:t>Una respuesta posterior al límite recibe 0. La autocorrección puede aceptarse si ocurre dentro del tiempo y antes de avanzar.</w:t>
      </w:r>
    </w:p>
    <w:p>
      <w:pPr>
        <w:pStyle w:val="ListNumber"/>
      </w:pPr>
      <w:r>
        <w:t>Los dos primeros ítems puntuables administrados son de aprendizaje; se conserva la primera respuesta.</w:t>
      </w:r>
    </w:p>
    <w:p>
      <w:pPr>
        <w:pStyle w:val="ListNumber"/>
      </w:pPr>
      <w:r>
        <w:t>En Presentación discreta, el valor 0/1 permanece oculto; use Alt+1 o Alt+0 después de registrar la respuesta.</w:t>
      </w:r>
    </w:p>
    <w:p>
      <w:pPr>
        <w:pStyle w:val="Heading1"/>
      </w:pPr>
      <w:r>
        <w:t>4. Matrices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DCE8E3"/>
            <w:vAlign w:val="center"/>
          </w:tcPr>
          <w:p>
            <w:r>
              <w:rPr>
                <w:b/>
              </w:rPr>
              <w:t>Edad</w:t>
            </w:r>
          </w:p>
        </w:tc>
        <w:tc>
          <w:tcPr>
            <w:tcW w:type="dxa" w:w="5100"/>
            <w:shd w:fill="DCE8E3"/>
            <w:vAlign w:val="center"/>
          </w:tcPr>
          <w:p>
            <w:r>
              <w:rPr>
                <w:b/>
              </w:rPr>
              <w:t>Ejemplo e inicio</w:t>
            </w:r>
          </w:p>
        </w:tc>
      </w:tr>
      <w:tr>
        <w:tc>
          <w:tcPr>
            <w:tcW w:type="dxa" w:w="5100"/>
          </w:tcPr>
          <w:p>
            <w:r>
              <w:t>4-5 años</w:t>
            </w:r>
          </w:p>
        </w:tc>
        <w:tc>
          <w:tcPr>
            <w:tcW w:type="dxa" w:w="5100"/>
          </w:tcPr>
          <w:p>
            <w:r>
              <w:t>Ejemplo A → ítem 1</w:t>
            </w:r>
          </w:p>
        </w:tc>
      </w:tr>
      <w:tr>
        <w:tc>
          <w:tcPr>
            <w:tcW w:type="dxa" w:w="5100"/>
          </w:tcPr>
          <w:p>
            <w:r>
              <w:t>6-10 años</w:t>
            </w:r>
          </w:p>
        </w:tc>
        <w:tc>
          <w:tcPr>
            <w:tcW w:type="dxa" w:w="5100"/>
          </w:tcPr>
          <w:p>
            <w:r>
              <w:t>Ejemplo B → ítem 10</w:t>
            </w:r>
          </w:p>
        </w:tc>
      </w:tr>
      <w:tr>
        <w:tc>
          <w:tcPr>
            <w:tcW w:type="dxa" w:w="5100"/>
          </w:tcPr>
          <w:p>
            <w:r>
              <w:t>11-90 años</w:t>
            </w:r>
          </w:p>
        </w:tc>
        <w:tc>
          <w:tcPr>
            <w:tcW w:type="dxa" w:w="5100"/>
          </w:tcPr>
          <w:p>
            <w:r>
              <w:t>Ejemplo B: correcto → 15 / incorrecto → 10</w:t>
            </w:r>
          </w:p>
        </w:tc>
      </w:tr>
    </w:tbl>
    <w:p>
      <w:pPr>
        <w:pStyle w:val="ListNumber"/>
      </w:pPr>
      <w:r>
        <w:t>El evaluado puede señalar o indicar verbalmente la alternativa.</w:t>
      </w:r>
    </w:p>
    <w:p>
      <w:pPr>
        <w:pStyle w:val="ListNumber"/>
      </w:pPr>
      <w:r>
        <w:t>En la bifurcación del Ejemplo B (11-90 años), con Presentación discreta use Alt+1 si el ejemplo fue correcto o Alt+0 si fue incorrecto; la app selecciona 15 o 10 sin mostrar la corrección.</w:t>
      </w:r>
    </w:p>
    <w:p>
      <w:pPr>
        <w:pStyle w:val="ListNumber"/>
      </w:pPr>
      <w:r>
        <w:t>Registre A-H. La app contrasta internamente la alternativa con la clave y guarda 1/0 sin mostrarlo en Presentación discreta.</w:t>
      </w:r>
    </w:p>
    <w:p>
      <w:pPr>
        <w:pStyle w:val="ListNumber"/>
      </w:pPr>
      <w:r>
        <w:t>Los dos primeros ítems puntuables posteriores al ejemplo son de aprendizaje.</w:t>
      </w:r>
    </w:p>
    <w:p>
      <w:pPr>
        <w:pStyle w:val="ListNumber"/>
      </w:pPr>
      <w:r>
        <w:t>No hay límite específico de tiempo.</w:t>
      </w:r>
    </w:p>
    <w:p>
      <w:pPr>
        <w:pStyle w:val="Heading1"/>
      </w:pPr>
      <w:r>
        <w:t>5. Retorno, crédito previo y discontinuación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CE8E3"/>
            <w:vAlign w:val="center"/>
          </w:tcPr>
          <w:p>
            <w:r>
              <w:rPr>
                <w:b/>
              </w:rPr>
              <w:t>Primer bloque</w:t>
            </w:r>
          </w:p>
        </w:tc>
        <w:tc>
          <w:tcPr>
            <w:tcW w:type="dxa" w:w="3400"/>
            <w:shd w:fill="DCE8E3"/>
            <w:vAlign w:val="center"/>
          </w:tcPr>
          <w:p>
            <w:r>
              <w:rPr>
                <w:b/>
              </w:rPr>
              <w:t>Inicio en 1</w:t>
            </w:r>
          </w:p>
        </w:tc>
        <w:tc>
          <w:tcPr>
            <w:tcW w:type="dxa" w:w="3400"/>
            <w:shd w:fill="DCE8E3"/>
            <w:vAlign w:val="center"/>
          </w:tcPr>
          <w:p>
            <w:r>
              <w:rPr>
                <w:b/>
              </w:rPr>
              <w:t>Inicio después de 1</w:t>
            </w:r>
          </w:p>
        </w:tc>
      </w:tr>
      <w:tr>
        <w:tc>
          <w:tcPr>
            <w:tcW w:type="dxa" w:w="3400"/>
          </w:tcPr>
          <w:p>
            <w:r>
              <w:t>2 o más aciertos</w:t>
            </w:r>
          </w:p>
        </w:tc>
        <w:tc>
          <w:tcPr>
            <w:tcW w:type="dxa" w:w="3400"/>
          </w:tcPr>
          <w:p>
            <w:r>
              <w:t>Continuar</w:t>
            </w:r>
          </w:p>
        </w:tc>
        <w:tc>
          <w:tcPr>
            <w:tcW w:type="dxa" w:w="3400"/>
          </w:tcPr>
          <w:p>
            <w:r>
              <w:t>Continuar + acreditar ítems previos no administrados</w:t>
            </w:r>
          </w:p>
        </w:tc>
      </w:tr>
      <w:tr>
        <w:tc>
          <w:tcPr>
            <w:tcW w:type="dxa" w:w="3400"/>
          </w:tcPr>
          <w:p>
            <w:r>
              <w:t>1 acierto</w:t>
            </w:r>
          </w:p>
        </w:tc>
        <w:tc>
          <w:tcPr>
            <w:tcW w:type="dxa" w:w="3400"/>
          </w:tcPr>
          <w:p>
            <w:r>
              <w:t>Continuar</w:t>
            </w:r>
          </w:p>
        </w:tc>
        <w:tc>
          <w:tcPr>
            <w:tcW w:type="dxa" w:w="3400"/>
          </w:tcPr>
          <w:p>
            <w:r>
              <w:t>Retornar al ítem 1</w:t>
            </w:r>
          </w:p>
        </w:tc>
      </w:tr>
      <w:tr>
        <w:tc>
          <w:tcPr>
            <w:tcW w:type="dxa" w:w="3400"/>
          </w:tcPr>
          <w:p>
            <w:r>
              <w:t>0 aciertos</w:t>
            </w:r>
          </w:p>
        </w:tc>
        <w:tc>
          <w:tcPr>
            <w:tcW w:type="dxa" w:w="3400"/>
          </w:tcPr>
          <w:p>
            <w:r>
              <w:t>Terminar</w:t>
            </w:r>
          </w:p>
        </w:tc>
        <w:tc>
          <w:tcPr>
            <w:tcW w:type="dxa" w:w="3400"/>
          </w:tcPr>
          <w:p>
            <w:r>
              <w:t>Retornar al ítem 1</w:t>
            </w:r>
          </w:p>
        </w:tc>
      </w:tr>
    </w:tbl>
    <w:p>
      <w:pPr>
        <w:pStyle w:val="ListBullet"/>
      </w:pPr>
      <w:r>
        <w:t>El K-BIT trabaja por bloques de 4 o 5 ítems.</w:t>
      </w:r>
    </w:p>
    <w:p>
      <w:pPr>
        <w:pStyle w:val="ListBullet"/>
      </w:pPr>
      <w:r>
        <w:t>La discontinuación se produce cuando todos los ítems de un bloque reciben 0, salvo el primer bloque con inicio posterior a 1, que activa retorno.</w:t>
      </w:r>
    </w:p>
    <w:p>
      <w:pPr>
        <w:pStyle w:val="ListBullet"/>
      </w:pPr>
      <w:r>
        <w:t>Los ítems administrados después de una discontinuación válida no se suman.</w:t>
      </w:r>
    </w:p>
    <w:p>
      <w:pPr>
        <w:pStyle w:val="ListBullet"/>
      </w:pPr>
      <w:r>
        <w:t>La app conserva bitácora de inicio, retorno, crédito, tiempos y cierre.</w:t>
      </w:r>
    </w:p>
    <w:p>
      <w:pPr>
        <w:pStyle w:val="Heading1"/>
      </w:pPr>
      <w:r>
        <w:t>6. Respuestas dudosas e incidencias</w:t>
      </w:r>
    </w:p>
    <w:p>
      <w:pPr>
        <w:pStyle w:val="ListBullet"/>
      </w:pPr>
      <w:r>
        <w:t>Pronunciación imperfecta en Vocabulario expresivo: no penalizar si la palabra es inequívocamente reconocible.</w:t>
      </w:r>
    </w:p>
    <w:p>
      <w:pPr>
        <w:pStyle w:val="ListBullet"/>
      </w:pPr>
      <w:r>
        <w:t>Respuesta vaga: solicitar precisión de forma neutral, sin revelar la solución.</w:t>
      </w:r>
    </w:p>
    <w:p>
      <w:pPr>
        <w:pStyle w:val="ListBullet"/>
      </w:pPr>
      <w:r>
        <w:t>Respuestas múltiples: si no queda clara la definitiva, pedir que elija una.</w:t>
      </w:r>
    </w:p>
    <w:p>
      <w:pPr>
        <w:pStyle w:val="ListBullet"/>
      </w:pPr>
      <w:r>
        <w:t>Definiciones: la respuesta debe producir la palabra; no exige deletreo perfecto, pero respeta el límite de 30 segundos.</w:t>
      </w:r>
    </w:p>
    <w:p>
      <w:pPr>
        <w:pStyle w:val="ListBullet"/>
      </w:pPr>
      <w:r>
        <w:t>Cualquier cambio clínico excepcional de inicio, retorno o reaplicación debe documentarse.</w:t>
      </w:r>
    </w:p>
    <w:p>
      <w:pPr>
        <w:pStyle w:val="Heading1"/>
      </w:pPr>
      <w:r>
        <w:t>7. Revisión y resultados</w:t>
      </w:r>
    </w:p>
    <w:p>
      <w:pPr>
        <w:pStyle w:val="ListNumber"/>
      </w:pPr>
      <w:r>
        <w:t>Al terminar, entre en Revisión. Esta pantalla sí es exclusivamente profesional y muestra correctas, incorrectas, créditos, no administrados y trazabilidad.</w:t>
      </w:r>
    </w:p>
    <w:p>
      <w:pPr>
        <w:pStyle w:val="ListNumber"/>
      </w:pPr>
      <w:r>
        <w:t>Compruebe que las subpruebas requeridas por edad están cerradas y revise cualquier incidencia.</w:t>
      </w:r>
    </w:p>
    <w:p>
      <w:pPr>
        <w:pStyle w:val="ListNumber"/>
      </w:pPr>
      <w:r>
        <w:t>Seleccione el nivel de confianza. La app calcula puntuaciones directas, típicas, percentiles, categoría, intervalos, CI compuesto y discrepancia verbal-no verbal.</w:t>
      </w:r>
    </w:p>
    <w:p>
      <w:pPr>
        <w:pStyle w:val="ListNumber"/>
      </w:pPr>
      <w:r>
        <w:t>Puede exportar el protocolo digital y la plantilla original de respuestas para adjuntarlos al expediente.</w:t>
      </w:r>
    </w:p>
    <w:p>
      <w:pPr>
        <w:pStyle w:val="Heading1"/>
      </w:pPr>
      <w:r>
        <w:t>8. Informes: tres salidas claramente distintas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CE8E3"/>
            <w:vAlign w:val="center"/>
          </w:tcPr>
          <w:p>
            <w:r>
              <w:rPr>
                <w:b/>
              </w:rPr>
              <w:t>Vista</w:t>
            </w:r>
          </w:p>
        </w:tc>
        <w:tc>
          <w:tcPr>
            <w:tcW w:type="dxa" w:w="3400"/>
            <w:shd w:fill="DCE8E3"/>
            <w:vAlign w:val="center"/>
          </w:tcPr>
          <w:p>
            <w:r>
              <w:rPr>
                <w:b/>
              </w:rPr>
              <w:t>Origen</w:t>
            </w:r>
          </w:p>
        </w:tc>
        <w:tc>
          <w:tcPr>
            <w:tcW w:type="dxa" w:w="3400"/>
            <w:shd w:fill="DCE8E3"/>
            <w:vAlign w:val="center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3400"/>
          </w:tcPr>
          <w:p>
            <w:r>
              <w:t>Informe técnico</w:t>
            </w:r>
          </w:p>
        </w:tc>
        <w:tc>
          <w:tcPr>
            <w:tcW w:type="dxa" w:w="3400"/>
          </w:tcPr>
          <w:p>
            <w:r>
              <w:t>Motor local</w:t>
            </w:r>
          </w:p>
        </w:tc>
        <w:tc>
          <w:tcPr>
            <w:tcW w:type="dxa" w:w="3400"/>
          </w:tcPr>
          <w:p>
            <w:r>
              <w:t>Resultado formal psicométrico: PD, PT/CI, percentiles, IC, perfil, discrepancia, trazabilidad y cautelas.</w:t>
            </w:r>
          </w:p>
        </w:tc>
      </w:tr>
      <w:tr>
        <w:tc>
          <w:tcPr>
            <w:tcW w:type="dxa" w:w="3400"/>
          </w:tcPr>
          <w:p>
            <w:r>
              <w:t>Contextual base</w:t>
            </w:r>
          </w:p>
        </w:tc>
        <w:tc>
          <w:tcPr>
            <w:tcW w:type="dxa" w:w="3400"/>
          </w:tcPr>
          <w:p>
            <w:r>
              <w:t>Motor local</w:t>
            </w:r>
          </w:p>
        </w:tc>
        <w:tc>
          <w:tcPr>
            <w:tcW w:type="dxa" w:w="3400"/>
          </w:tcPr>
          <w:p>
            <w:r>
              <w:t>Integra datos del caso mediante reglas locales; no contiene contenido generado por IA.</w:t>
            </w:r>
          </w:p>
        </w:tc>
      </w:tr>
      <w:tr>
        <w:tc>
          <w:tcPr>
            <w:tcW w:type="dxa" w:w="3400"/>
          </w:tcPr>
          <w:p>
            <w:r>
              <w:t>Contextual + IA</w:t>
            </w:r>
          </w:p>
        </w:tc>
        <w:tc>
          <w:tcPr>
            <w:tcW w:type="dxa" w:w="3400"/>
          </w:tcPr>
          <w:p>
            <w:r>
              <w:t>Texto externo anonimizado + núcleo técnico local</w:t>
            </w:r>
          </w:p>
        </w:tc>
        <w:tc>
          <w:tcPr>
            <w:tcW w:type="dxa" w:w="3400"/>
          </w:tcPr>
          <w:p>
            <w:r>
              <w:t>Versión asistida diferenciada; exige pegar una respuesta de IA y validación profesional.</w:t>
            </w:r>
          </w:p>
        </w:tc>
      </w:tr>
    </w:tbl>
    <w:p>
      <w:pPr>
        <w:pStyle w:val="Heading2"/>
      </w:pPr>
      <w:r>
        <w:t>Cómo usar el informe contextual asistido por IA</w:t>
      </w:r>
    </w:p>
    <w:p>
      <w:pPr>
        <w:pStyle w:val="ListNumber"/>
      </w:pPr>
      <w:r>
        <w:t>Abra la pestaña Contextual + IA.</w:t>
      </w:r>
    </w:p>
    <w:p>
      <w:pPr>
        <w:pStyle w:val="ListNumber"/>
      </w:pPr>
      <w:r>
        <w:t>Copie el prompt completo anonimizado o descargue el paquete IA.</w:t>
      </w:r>
    </w:p>
    <w:p>
      <w:pPr>
        <w:pStyle w:val="ListNumber"/>
      </w:pPr>
      <w:r>
        <w:t>Obtenga el informe en el sistema de IA autorizado.</w:t>
      </w:r>
    </w:p>
    <w:p>
      <w:pPr>
        <w:pStyle w:val="ListNumber"/>
      </w:pPr>
      <w:r>
        <w:t>Pegue el texto completo en “Texto completo devuelto por la IA”. La previsualización se actualiza inmediatamente.</w:t>
      </w:r>
    </w:p>
    <w:p>
      <w:pPr>
        <w:pStyle w:val="ListNumber"/>
      </w:pPr>
      <w:r>
        <w:t>Si no hay texto de IA, la vista muestra “Sin contenido de IA cargado” y NO reemplaza silenciosamente esa ausencia por el informe contextual base.</w:t>
      </w:r>
    </w:p>
    <w:p>
      <w:pPr>
        <w:pStyle w:val="ListNumber"/>
      </w:pPr>
      <w:r>
        <w:t>Revise y valide el documento antes de exportarlo. El núcleo psicométrico sigue siendo calculado localmente y no debe ser modificado por la IA.</w:t>
      </w:r>
    </w:p>
    <w:p>
      <w:pPr>
        <w:pStyle w:val="Heading1"/>
      </w:pPr>
      <w:r>
        <w:t>9. Checklist de cierre</w:t>
      </w:r>
    </w:p>
    <w:p>
      <w:pPr>
        <w:pStyle w:val="ListBullet"/>
      </w:pPr>
      <w:r>
        <w:t>☐ La pantalla compartida estuvo en Presentación discreta durante la corrección.</w:t>
      </w:r>
    </w:p>
    <w:p>
      <w:pPr>
        <w:pStyle w:val="ListBullet"/>
      </w:pPr>
      <w:r>
        <w:t>☐ Se conservaron las primeras respuestas de los ítems de aprendizaje.</w:t>
      </w:r>
    </w:p>
    <w:p>
      <w:pPr>
        <w:pStyle w:val="ListBullet"/>
      </w:pPr>
      <w:r>
        <w:t>☐ Se completó cada primer bloque antes de decidir continuidad o retorno.</w:t>
      </w:r>
    </w:p>
    <w:p>
      <w:pPr>
        <w:pStyle w:val="ListBullet"/>
      </w:pPr>
      <w:r>
        <w:t>☐ Se aplicó discontinuación solo por bloque completo de 0.</w:t>
      </w:r>
    </w:p>
    <w:p>
      <w:pPr>
        <w:pStyle w:val="ListBullet"/>
      </w:pPr>
      <w:r>
        <w:t>☐ En Definiciones se respetaron los 30 segundos sin reiniciar el reloj.</w:t>
      </w:r>
    </w:p>
    <w:p>
      <w:pPr>
        <w:pStyle w:val="ListBullet"/>
      </w:pPr>
      <w:r>
        <w:t>☐ Se registraron aclaraciones, incidencias y desviaciones clínicas.</w:t>
      </w:r>
    </w:p>
    <w:p>
      <w:pPr>
        <w:pStyle w:val="ListBullet"/>
      </w:pPr>
      <w:r>
        <w:t>☐ Los informes técnico, contextual base y contextual IA se distinguieron correctamente.</w:t>
      </w:r>
    </w:p>
    <w:p>
      <w:pPr>
        <w:pStyle w:val="ListBullet"/>
      </w:pPr>
      <w:r>
        <w:t>☐ El informe asistido por IA fue revisado y validado por el profesional.</w:t>
      </w:r>
    </w:p>
    <w:p>
      <w:pPr>
        <w:jc w:val="center"/>
      </w:pPr>
      <w:r>
        <w:rPr>
          <w:i/>
        </w:rPr>
        <w:t>K-BIT Protocolo Cognitivo v0.8.0 · Manual operativo de la aplicación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