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Manual del evaluador</w:t>
      </w:r>
    </w:p>
    <w:p>
      <w:pPr>
        <w:jc w:val="left"/>
      </w:pPr>
      <w:r>
        <w:t>K-BIT Protocolo Cognitivo v0.11.0</w:t>
      </w:r>
    </w:p>
    <w:p>
      <w:r>
        <w:rPr>
          <w:b/>
        </w:rPr>
        <w:t xml:space="preserve">Propósito. </w:t>
      </w:r>
      <w:r>
        <w:t>Guía operativa para utilizar la aplicación durante la administración profesional, el registro protocolario y la elaboración de informes.</w:t>
      </w:r>
    </w:p>
    <w:p>
      <w:pPr>
        <w:pStyle w:val="Heading1"/>
      </w:pPr>
      <w:r>
        <w:t>1. Configuración inicial del profesional</w:t>
      </w:r>
    </w:p>
    <w:p>
      <w:pPr>
        <w:pStyle w:val="ListNumber"/>
      </w:pPr>
      <w:r>
        <w:t>Abra Configuración.</w:t>
      </w:r>
    </w:p>
    <w:p>
      <w:pPr>
        <w:pStyle w:val="ListNumber"/>
      </w:pPr>
      <w:r>
        <w:t>Registre nombre, rol, tarjeta/registro profesional, institución o consulta, dirección, teléfono y correo.</w:t>
      </w:r>
    </w:p>
    <w:p>
      <w:pPr>
        <w:pStyle w:val="ListNumber"/>
      </w:pPr>
      <w:r>
        <w:t>Suba firma digitalizada y, si lo desea, logo institucional.</w:t>
      </w:r>
    </w:p>
    <w:p>
      <w:pPr>
        <w:pStyle w:val="ListNumber"/>
      </w:pPr>
      <w:r>
        <w:t>Active los proveedores del Hub de IA y añada, si necesita, un proveedor personalizado.</w:t>
      </w:r>
    </w:p>
    <w:p>
      <w:pPr>
        <w:pStyle w:val="ListNumber"/>
      </w:pPr>
      <w:r>
        <w:t>Los nuevos casos heredan el perfil predeterminado; los casos existentes pueden actualizarse con “Aplicar al caso actual”.</w:t>
      </w:r>
    </w:p>
    <w:p>
      <w:r>
        <w:t>La aplicación mantiene un espejo automático del estado en IndexedDB además del almacenamiento local. Este mecanismo mejora la recuperación, pero no sustituye el respaldo externo.</w:t>
      </w:r>
    </w:p>
    <w:p>
      <w:pPr>
        <w:pStyle w:val="Heading1"/>
      </w:pPr>
      <w:r>
        <w:t>2. Crear un caso y preparar la aplicación</w:t>
      </w:r>
    </w:p>
    <w:p>
      <w:pPr>
        <w:pStyle w:val="ListNumber"/>
      </w:pPr>
      <w:r>
        <w:t>Cree una evaluación nueva.</w:t>
      </w:r>
    </w:p>
    <w:p>
      <w:pPr>
        <w:pStyle w:val="ListNumber"/>
      </w:pPr>
      <w:r>
        <w:t>Introduzca datos reales del evaluado; para IA se utiliza el alias anonimizado.</w:t>
      </w:r>
    </w:p>
    <w:p>
      <w:pPr>
        <w:pStyle w:val="ListNumber"/>
      </w:pPr>
      <w:r>
        <w:t>Registre fecha de nacimiento y aplicación; la edad y el tramo normativo se calculan automáticamente.</w:t>
      </w:r>
    </w:p>
    <w:p>
      <w:pPr>
        <w:pStyle w:val="ListNumber"/>
      </w:pPr>
      <w:r>
        <w:t>Complete motivo, contexto y antecedentes relevantes.</w:t>
      </w:r>
    </w:p>
    <w:p>
      <w:pPr>
        <w:pStyle w:val="ListNumber"/>
      </w:pPr>
      <w:r>
        <w:t>Mantenga activa la vista discreta si la pantalla será visible para el evaluado.</w:t>
      </w:r>
    </w:p>
    <w:p>
      <w:pPr>
        <w:pStyle w:val="Heading1"/>
      </w:pPr>
      <w:r>
        <w:t>3. Registro discreto frente al evaluado</w:t>
      </w:r>
    </w:p>
    <w:p>
      <w:r>
        <w:t>Vocabulario y Definiciones: escriba la respuesta y pulse directamente 1 o 0. La pantalla compartida solo confirma “Registro guardado”; no muestra “correcto/incorrecto”. En Matrices registre A-H y la corrección se realiza internamente.</w:t>
      </w:r>
    </w:p>
    <w:p>
      <w:pPr>
        <w:pStyle w:val="Heading1"/>
      </w:pPr>
      <w:r>
        <w:t>4. Ruta protocolaria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Subprueba</w:t>
            </w:r>
          </w:p>
        </w:tc>
        <w:tc>
          <w:tcPr>
            <w:tcW w:type="dxa" w:w="5083"/>
          </w:tcPr>
          <w:p>
            <w:r>
              <w:t>Ruta guiada</w:t>
            </w:r>
          </w:p>
        </w:tc>
      </w:tr>
      <w:tr>
        <w:tc>
          <w:tcPr>
            <w:tcW w:type="dxa" w:w="5083"/>
          </w:tcPr>
          <w:p>
            <w:r>
              <w:t>Vocabulario expresivo</w:t>
            </w:r>
          </w:p>
        </w:tc>
        <w:tc>
          <w:tcPr>
            <w:tcW w:type="dxa" w:w="5083"/>
          </w:tcPr>
          <w:p>
            <w:r>
              <w:t>Inicio por edad, dos primeros ítems de aprendizaje, decisión por primer bloque, retorno/crédito y discontinuación por bloques.</w:t>
            </w:r>
          </w:p>
        </w:tc>
      </w:tr>
      <w:tr>
        <w:tc>
          <w:tcPr>
            <w:tcW w:type="dxa" w:w="5083"/>
          </w:tcPr>
          <w:p>
            <w:r>
              <w:t>Definiciones</w:t>
            </w:r>
          </w:p>
        </w:tc>
        <w:tc>
          <w:tcPr>
            <w:tcW w:type="dxa" w:w="5083"/>
          </w:tcPr>
          <w:p>
            <w:r>
              <w:t>Desde 8 años, ejemplos A/B, inicio 1 u 6, 30 segundos por ítem sin reinicio y reglas de bloque.</w:t>
            </w:r>
          </w:p>
        </w:tc>
      </w:tr>
      <w:tr>
        <w:tc>
          <w:tcPr>
            <w:tcW w:type="dxa" w:w="5083"/>
          </w:tcPr>
          <w:p>
            <w:r>
              <w:t>Matrices</w:t>
            </w:r>
          </w:p>
        </w:tc>
        <w:tc>
          <w:tcPr>
            <w:tcW w:type="dxa" w:w="5083"/>
          </w:tcPr>
          <w:p>
            <w:r>
              <w:t>Ejemplo A/B según edad; desde 11 años el ejemplo B define inicio 10 o 15; registro A-H y corrección interna.</w:t>
            </w:r>
          </w:p>
        </w:tc>
      </w:tr>
    </w:tbl>
    <w:p>
      <w:r>
        <w:t>No aplique reglas de fallos consecutivos de otras escalas: esta implementación trabaja por bloques.</w:t>
      </w:r>
    </w:p>
    <w:p>
      <w:pPr>
        <w:pStyle w:val="Heading1"/>
      </w:pPr>
      <w:r>
        <w:t>5. Revisión antes de cerrar</w:t>
      </w:r>
    </w:p>
    <w:p>
      <w:pPr>
        <w:pStyle w:val="ListNumber"/>
      </w:pPr>
      <w:r>
        <w:t>Compruebe pendientes y no administrados.</w:t>
      </w:r>
    </w:p>
    <w:p>
      <w:pPr>
        <w:pStyle w:val="ListNumber"/>
      </w:pPr>
      <w:r>
        <w:t>Revise créditos, retornos y bloque de cierre.</w:t>
      </w:r>
    </w:p>
    <w:p>
      <w:pPr>
        <w:pStyle w:val="ListNumber"/>
      </w:pPr>
      <w:r>
        <w:t>Documente desviaciones clínicas o reaplicaciones excepcionales.</w:t>
      </w:r>
    </w:p>
    <w:p>
      <w:pPr>
        <w:pStyle w:val="ListNumber"/>
      </w:pPr>
      <w:r>
        <w:t>Confirme el nivel de confianza.</w:t>
      </w:r>
    </w:p>
    <w:p>
      <w:pPr>
        <w:pStyle w:val="ListNumber"/>
      </w:pPr>
      <w:r>
        <w:t>Pase a Resultados únicamente cuando la trazabilidad esté completa.</w:t>
      </w:r>
    </w:p>
    <w:p>
      <w:pPr>
        <w:pStyle w:val="Heading1"/>
      </w:pPr>
      <w:r>
        <w:t>6. Tipos de informe</w:t>
      </w:r>
    </w:p>
    <w:p>
      <w:pPr>
        <w:pStyle w:val="ListBullet"/>
      </w:pPr>
      <w:r>
        <w:t>Informe técnico: núcleo normativo, tablas, perfil, discrepancia y trazabilidad.</w:t>
      </w:r>
    </w:p>
    <w:p>
      <w:pPr>
        <w:pStyle w:val="ListBullet"/>
      </w:pPr>
      <w:r>
        <w:t>Contextual base: integración local de resultados y contexto, sin IA.</w:t>
      </w:r>
    </w:p>
    <w:p>
      <w:pPr>
        <w:pStyle w:val="ListBullet"/>
      </w:pPr>
      <w:r>
        <w:t>Contextual + IA: incorpora exclusivamente el texto externo pegado por el profesional; no reemplaza al informe base.</w:t>
      </w:r>
    </w:p>
    <w:p>
      <w:pPr>
        <w:pStyle w:val="Heading1"/>
      </w:pPr>
      <w:r>
        <w:t>7. Hub de IA</w:t>
      </w:r>
    </w:p>
    <w:p>
      <w:pPr>
        <w:pStyle w:val="ListNumber"/>
      </w:pPr>
      <w:r>
        <w:t>Copie el prompt anonimizado.</w:t>
      </w:r>
    </w:p>
    <w:p>
      <w:pPr>
        <w:pStyle w:val="ListNumber"/>
      </w:pPr>
      <w:r>
        <w:t>Abra una de las IAs habilitadas en el Hub.</w:t>
      </w:r>
    </w:p>
    <w:p>
      <w:pPr>
        <w:pStyle w:val="ListNumber"/>
      </w:pPr>
      <w:r>
        <w:t>Pegue el prompt y obtenga el informe.</w:t>
      </w:r>
    </w:p>
    <w:p>
      <w:pPr>
        <w:pStyle w:val="ListNumber"/>
      </w:pPr>
      <w:r>
        <w:t>Pegue el resultado en la app.</w:t>
      </w:r>
    </w:p>
    <w:p>
      <w:pPr>
        <w:pStyle w:val="ListNumber"/>
      </w:pPr>
      <w:r>
        <w:t>La previsualización transforma Markdown en encabezados, tablas, listas y negrillas.</w:t>
      </w:r>
    </w:p>
    <w:p>
      <w:pPr>
        <w:pStyle w:val="Heading1"/>
      </w:pPr>
      <w:r>
        <w:t>8. Exportaciones</w:t>
      </w:r>
    </w:p>
    <w:p>
      <w:pPr>
        <w:pStyle w:val="ListBullet"/>
      </w:pPr>
      <w:r>
        <w:t>HTML enriquecido.</w:t>
      </w:r>
    </w:p>
    <w:p>
      <w:pPr>
        <w:pStyle w:val="ListBullet"/>
      </w:pPr>
      <w:r>
        <w:t>DOCX nativo: archivo .docx real generado en el navegador.</w:t>
      </w:r>
    </w:p>
    <w:p>
      <w:pPr>
        <w:pStyle w:val="ListBullet"/>
      </w:pPr>
      <w:r>
        <w:t>DOC compatible con Word.</w:t>
      </w:r>
    </w:p>
    <w:p>
      <w:pPr>
        <w:pStyle w:val="ListBullet"/>
      </w:pPr>
      <w:r>
        <w:t>PDF mediante impresión del navegador.</w:t>
      </w:r>
    </w:p>
    <w:p>
      <w:pPr>
        <w:pStyle w:val="ListBullet"/>
      </w:pPr>
      <w:r>
        <w:t>Protocolo digital y expediente integrado.</w:t>
      </w:r>
    </w:p>
    <w:p>
      <w:pPr>
        <w:pStyle w:val="Heading1"/>
      </w:pPr>
      <w:r>
        <w:t>9. Perfil reutilizable y respaldo</w:t>
      </w:r>
    </w:p>
    <w:p>
      <w:r>
        <w:t>Use “Guardar datos como perfil predeterminado” para reutilizar firma, logo, datos de consulta y registro profesional en evaluaciones posteriores. Exporte respaldos completos cuando cambie de equipo o navegador.</w:t>
      </w:r>
    </w:p>
    <w:p>
      <w:pPr>
        <w:pStyle w:val="Heading1"/>
      </w:pPr>
      <w:r>
        <w:t>10. Checklist final</w:t>
      </w:r>
    </w:p>
    <w:p>
      <w:pPr>
        <w:pStyle w:val="ListBullet"/>
      </w:pPr>
      <w:r>
        <w:t>Edad y baremo verificados.</w:t>
      </w:r>
    </w:p>
    <w:p>
      <w:pPr>
        <w:pStyle w:val="ListBullet"/>
      </w:pPr>
      <w:r>
        <w:t>Ruta protocolaria completa.</w:t>
      </w:r>
    </w:p>
    <w:p>
      <w:pPr>
        <w:pStyle w:val="ListBullet"/>
      </w:pPr>
      <w:r>
        <w:t>Pendientes resueltos o justificados.</w:t>
      </w:r>
    </w:p>
    <w:p>
      <w:pPr>
        <w:pStyle w:val="ListBullet"/>
      </w:pPr>
      <w:r>
        <w:t>Firma, logo y contacto profesional correctos.</w:t>
      </w:r>
    </w:p>
    <w:p>
      <w:pPr>
        <w:pStyle w:val="ListBullet"/>
      </w:pPr>
      <w:r>
        <w:t>Tipo de informe correctamente seleccionado.</w:t>
      </w:r>
    </w:p>
    <w:p>
      <w:pPr>
        <w:pStyle w:val="ListBullet"/>
      </w:pPr>
      <w:r>
        <w:t>Archivo exportado revisado antes de entrega.</w:t>
      </w:r>
    </w:p>
    <w:p>
      <w:r>
        <w:br w:type="page"/>
      </w:r>
    </w:p>
    <w:p>
      <w:pPr>
        <w:pStyle w:val="Heading1"/>
      </w:pPr>
      <w:r>
        <w:t>11. Hoja de anotación cumplimentada y expediente final</w:t>
      </w:r>
    </w:p>
    <w:p>
      <w:r>
        <w:t>La aplicación ya no ofrece únicamente la plantilla vacía. Desde Informes &gt; Documentos del expediente puede producir una copia cumplimentada de la hoja de anotación original.</w:t>
      </w:r>
    </w:p>
    <w:p>
      <w:pPr>
        <w:pStyle w:val="ListBullet"/>
      </w:pPr>
      <w:r>
        <w:t>PDF: conserva en la primera página la apariencia de la plantilla aportada e inyecta nombre, fecha, fecha de nacimiento, institución/colegio, selección 1/0 por ítem, totales y puntuaciones finales. Una segunda página incorpora las respuestas literales registradas, puntuación y tiempo por reactivo.</w:t>
      </w:r>
    </w:p>
    <w:p>
      <w:pPr>
        <w:pStyle w:val="ListBullet"/>
      </w:pPr>
      <w:r>
        <w:rPr>
          <w:b/>
        </w:rPr>
        <w:t xml:space="preserve">Word: </w:t>
      </w:r>
      <w:r>
        <w:t>Genera la misma hoja visual como página A4 dentro de un archivo DOCX.</w:t>
      </w:r>
    </w:p>
    <w:p>
      <w:pPr>
        <w:pStyle w:val="ListBullet"/>
      </w:pPr>
      <w:r>
        <w:rPr>
          <w:b/>
        </w:rPr>
        <w:t xml:space="preserve">Protocolo detallado: </w:t>
      </w:r>
      <w:r>
        <w:t>Conserva las respuestas textuales, tiempos, observaciones, créditos, retorno y otras incidencias que no caben en la hoja física.</w:t>
      </w:r>
    </w:p>
    <w:p>
      <w:r>
        <w:t>Expediente completo: reúne portada institucional, informe técnico, informe contextual seleccionado, protocolo digital, las dos páginas de la hoja cumplimentada, firma y anexos. Está disponible en HTML, DOCX y PDF directo.</w:t>
      </w:r>
    </w:p>
    <w:p>
      <w:r>
        <w:t>Criterio de trazabilidad: la primera página reproduce la lógica de la hoja original; las respuestas verbales literales y las observaciones extensas permanecen en el protocolo detallado para no deformar el diseño del formulario.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K-BIT Protocolo v0.11 · Manual operativo de la aplicación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