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line="276" w:lineRule="auto"/>
        <w:jc w:val="center"/>
      </w:pPr>
      <w:r>
        <w:rPr>
          <w:rFonts w:ascii="Times New Roman" w:hAnsi="Times New Roman"/>
          <w:b/>
          <w:i w:val="0"/>
          <w:sz w:val="32"/>
        </w:rPr>
        <w:t>SYNAPSE BUILDOS: GENERATIVE AI-POWERED RESIDENTIAL ARCHITECTURAL DESIGN, ESTIMATION, AND COMPLIANCE PLATFORM</w:t>
      </w:r>
    </w:p>
    <w:p>
      <w:pPr>
        <w:spacing w:after="200" w:line="276" w:lineRule="auto"/>
        <w:jc w:val="center"/>
      </w:pPr>
      <w:r>
        <w:rPr>
          <w:rFonts w:ascii="Times New Roman" w:hAnsi="Times New Roman"/>
          <w:b/>
          <w:i w:val="0"/>
          <w:sz w:val="26"/>
        </w:rPr>
        <w:t>A MINI PROJECT REPORT</w:t>
      </w:r>
    </w:p>
    <w:p>
      <w:pPr>
        <w:spacing w:after="200" w:line="276" w:lineRule="auto"/>
        <w:jc w:val="center"/>
      </w:pPr>
      <w:r>
        <w:rPr>
          <w:rFonts w:ascii="Times New Roman" w:hAnsi="Times New Roman"/>
          <w:b w:val="0"/>
          <w:i/>
          <w:sz w:val="22"/>
        </w:rPr>
        <w:t>Submitted by</w:t>
      </w:r>
    </w:p>
    <w:p>
      <w:pPr>
        <w:spacing w:after="600" w:line="276" w:lineRule="auto"/>
        <w:jc w:val="center"/>
      </w:pPr>
      <w:r>
        <w:rPr>
          <w:rFonts w:ascii="Times New Roman" w:hAnsi="Times New Roman"/>
          <w:b/>
          <w:i w:val="0"/>
          <w:sz w:val="22"/>
        </w:rPr>
        <w:t>PROJECT TEAM</w:t>
        <w:br/>
        <w:t>(REGISTER NUMBER: 9124104073 / 9124104103 / 9124104121)</w:t>
      </w:r>
    </w:p>
    <w:p>
      <w:pPr>
        <w:spacing w:after="200" w:line="276" w:lineRule="auto"/>
        <w:jc w:val="center"/>
      </w:pPr>
      <w:r>
        <w:rPr>
          <w:rFonts w:ascii="Times New Roman" w:hAnsi="Times New Roman"/>
          <w:b w:val="0"/>
          <w:i/>
          <w:sz w:val="22"/>
        </w:rPr>
        <w:t>in partial fulfilment for the award of the degree</w:t>
        <w:br/>
        <w:t>of</w:t>
      </w:r>
    </w:p>
    <w:p>
      <w:pPr>
        <w:spacing w:after="600" w:line="276" w:lineRule="auto"/>
        <w:jc w:val="center"/>
      </w:pPr>
      <w:r>
        <w:rPr>
          <w:rFonts w:ascii="Times New Roman" w:hAnsi="Times New Roman"/>
          <w:b/>
          <w:i w:val="0"/>
          <w:sz w:val="26"/>
        </w:rPr>
        <w:t>BACHELOR OF ENGINEERING</w:t>
        <w:br/>
        <w:t>IN</w:t>
        <w:br/>
        <w:t>COMPUTER SCIENCE AND ENGINEERING</w:t>
      </w:r>
    </w:p>
    <w:p>
      <w:pPr>
        <w:spacing w:after="200" w:line="276" w:lineRule="auto"/>
        <w:jc w:val="center"/>
      </w:pPr>
      <w:r>
        <w:rPr>
          <w:rFonts w:ascii="Times New Roman" w:hAnsi="Times New Roman"/>
          <w:b/>
          <w:i w:val="0"/>
          <w:sz w:val="22"/>
        </w:rPr>
        <w:t>KCG COLLEGE OF TECHNOLOGY, KARAPAKKAM</w:t>
        <w:br/>
        <w:t>(AUTONOMOUS)</w:t>
        <w:br/>
        <w:t>NOVEMBER 2026</w:t>
      </w:r>
    </w:p>
    <w:p>
      <w:r>
        <w:br w:type="page"/>
      </w:r>
    </w:p>
    <w:p>
      <w:pPr>
        <w:spacing w:before="280" w:after="240"/>
        <w:jc w:val="center"/>
      </w:pPr>
      <w:r>
        <w:rPr>
          <w:rFonts w:ascii="Times New Roman" w:hAnsi="Times New Roman"/>
          <w:b/>
          <w:sz w:val="28"/>
        </w:rPr>
        <w:t>BONAFIDE CERTIFICATE</w:t>
      </w:r>
    </w:p>
    <w:p>
      <w:pPr>
        <w:spacing w:after="800" w:line="276" w:lineRule="auto"/>
        <w:jc w:val="both"/>
      </w:pPr>
      <w:r>
        <w:rPr>
          <w:rFonts w:ascii="Times New Roman" w:hAnsi="Times New Roman"/>
          <w:b w:val="0"/>
          <w:i w:val="0"/>
          <w:sz w:val="22"/>
        </w:rPr>
        <w:t>Certified that this mini project report “SYNAPSE BUILDOS: Generative AI-Powered Residential Architectural Design, Estimation, and Compliance Platform” is the bonafide work of “Project Team” who carried out the mini project work under my supervision.</w:t>
      </w:r>
    </w:p>
    <w:p>
      <w:pPr>
        <w:spacing w:after="600" w:line="276" w:lineRule="auto"/>
        <w:jc w:val="left"/>
      </w:pPr>
      <w:r>
        <w:rPr>
          <w:rFonts w:ascii="Times New Roman" w:hAnsi="Times New Roman"/>
          <w:b/>
          <w:i w:val="0"/>
          <w:sz w:val="20"/>
        </w:rPr>
        <w:t>Signature of the HOD with date                                  Signature of the Supervisor with date</w:t>
        <w:br/>
        <w:t>Dr. S. REVATHY M.E., Ph.D.,                                Dr. ROBINSON JOEL</w:t>
        <w:br/>
        <w:t>PROFESSOR AND HEAD,                                         ASSOCIATE PROFESSOR</w:t>
        <w:br/>
        <w:t>Dept. of Computer Science &amp; Engineering,     Dept. of Computer Science &amp; Engineering,</w:t>
        <w:br/>
        <w:t>KCG College of Technology, Chennai.              KCG College of Technology, Chennai.</w:t>
      </w:r>
    </w:p>
    <w:p>
      <w:pPr>
        <w:spacing w:after="800" w:line="276" w:lineRule="auto"/>
        <w:jc w:val="both"/>
      </w:pPr>
      <w:r>
        <w:rPr>
          <w:rFonts w:ascii="Times New Roman" w:hAnsi="Times New Roman"/>
          <w:b w:val="0"/>
          <w:i w:val="0"/>
          <w:sz w:val="22"/>
        </w:rPr>
        <w:t>Certified that the above candidate(s) was examined in the End Semester mini-Project Viva-Voce Examination held on ....................................</w:t>
      </w:r>
    </w:p>
    <w:p>
      <w:pPr>
        <w:spacing w:after="120" w:line="276" w:lineRule="auto"/>
        <w:jc w:val="left"/>
      </w:pPr>
      <w:r>
        <w:rPr>
          <w:rFonts w:ascii="Times New Roman" w:hAnsi="Times New Roman"/>
          <w:b/>
          <w:i w:val="0"/>
          <w:sz w:val="22"/>
        </w:rPr>
        <w:t>INTERNAL EXAMINER                                                 EXTERNAL EXAMINER</w:t>
      </w:r>
    </w:p>
    <w:p>
      <w:r>
        <w:br w:type="page"/>
      </w:r>
    </w:p>
    <w:p>
      <w:pPr>
        <w:spacing w:before="280" w:after="240"/>
        <w:jc w:val="center"/>
      </w:pPr>
      <w:r>
        <w:rPr>
          <w:rFonts w:ascii="Times New Roman" w:hAnsi="Times New Roman"/>
          <w:b/>
          <w:sz w:val="28"/>
        </w:rPr>
        <w:t>DECLARATION BY THE STUDENT</w:t>
      </w:r>
    </w:p>
    <w:p>
      <w:pPr>
        <w:spacing w:after="1600" w:line="276" w:lineRule="auto"/>
        <w:jc w:val="both"/>
      </w:pPr>
      <w:r>
        <w:rPr>
          <w:rFonts w:ascii="Times New Roman" w:hAnsi="Times New Roman"/>
          <w:b w:val="0"/>
          <w:i w:val="0"/>
          <w:sz w:val="22"/>
        </w:rPr>
        <w:t>We hereby declare that this mini project report titled “SYNAPSE BUILDOS: Generative AI-Powered Residential Architectural Design, Estimation, and Compliance Platform”, under the guidance of “Dr. Robinson Joel” is the original work done by us and we have not plagiarized or submitted to any other degree in any university by us.</w:t>
      </w:r>
    </w:p>
    <w:p>
      <w:pPr>
        <w:spacing w:after="120" w:line="276" w:lineRule="auto"/>
        <w:jc w:val="right"/>
      </w:pPr>
      <w:r>
        <w:rPr>
          <w:rFonts w:ascii="Times New Roman" w:hAnsi="Times New Roman"/>
          <w:b/>
          <w:i w:val="0"/>
          <w:sz w:val="22"/>
        </w:rPr>
        <w:t>STUDENT CANDIDATES</w:t>
        <w:br/>
        <w:t>Department of Computer Science and Engineering</w:t>
        <w:br/>
        <w:t>KCG College of Technology, Chennai</w:t>
      </w:r>
    </w:p>
    <w:p>
      <w:r>
        <w:br w:type="page"/>
      </w:r>
    </w:p>
    <w:p>
      <w:pPr>
        <w:spacing w:before="280" w:after="240"/>
        <w:jc w:val="center"/>
      </w:pPr>
      <w:r>
        <w:rPr>
          <w:rFonts w:ascii="Times New Roman" w:hAnsi="Times New Roman"/>
          <w:b/>
          <w:sz w:val="28"/>
        </w:rPr>
        <w:t>ACKNOWLEDGEMENT</w:t>
      </w:r>
    </w:p>
    <w:p>
      <w:pPr>
        <w:spacing w:after="120" w:line="276" w:lineRule="auto"/>
        <w:jc w:val="both"/>
      </w:pPr>
      <w:r>
        <w:rPr>
          <w:rFonts w:ascii="Times New Roman" w:hAnsi="Times New Roman"/>
          <w:b w:val="0"/>
          <w:i w:val="0"/>
          <w:sz w:val="22"/>
        </w:rPr>
        <w:t>We thank the Almighty GOD for the abundant blessings showered on us. We extend our deepest love and gratitude to our dear parents who built up our career and backed us up in life.</w:t>
      </w:r>
    </w:p>
    <w:p>
      <w:pPr>
        <w:spacing w:after="120" w:line="276" w:lineRule="auto"/>
        <w:jc w:val="both"/>
      </w:pPr>
      <w:r>
        <w:rPr>
          <w:rFonts w:ascii="Times New Roman" w:hAnsi="Times New Roman"/>
          <w:b w:val="0"/>
          <w:i w:val="0"/>
          <w:sz w:val="22"/>
        </w:rPr>
        <w:t>We thank our management and our Principal Dr. G. Prabhakaran for the opportunities given to us for our career development.</w:t>
      </w:r>
    </w:p>
    <w:p>
      <w:pPr>
        <w:spacing w:after="120" w:line="276" w:lineRule="auto"/>
        <w:jc w:val="both"/>
      </w:pPr>
      <w:r>
        <w:rPr>
          <w:rFonts w:ascii="Times New Roman" w:hAnsi="Times New Roman"/>
          <w:b w:val="0"/>
          <w:i w:val="0"/>
          <w:sz w:val="22"/>
        </w:rPr>
        <w:t>We feel indebted to the Head of the Department Dr. Revathy S, Professor and Head, Department of Computer Science &amp; Engineering, KCG College of Technology, Karapakkam, for all her encouragement, which has sustained our labor and efforts.</w:t>
      </w:r>
    </w:p>
    <w:p>
      <w:pPr>
        <w:spacing w:after="120" w:line="276" w:lineRule="auto"/>
        <w:jc w:val="both"/>
      </w:pPr>
      <w:r>
        <w:rPr>
          <w:rFonts w:ascii="Times New Roman" w:hAnsi="Times New Roman"/>
          <w:b w:val="0"/>
          <w:i w:val="0"/>
          <w:sz w:val="22"/>
        </w:rPr>
        <w:t>We express our deepest gratitude to the internal guide Dr. Robinson Joel, Associate Professor, Department of Computer Science &amp; Engineering, KCG College of Technology, for his valuable guidance, ideas and support.</w:t>
      </w:r>
    </w:p>
    <w:p>
      <w:pPr>
        <w:spacing w:after="120" w:line="276" w:lineRule="auto"/>
        <w:jc w:val="both"/>
      </w:pPr>
      <w:r>
        <w:rPr>
          <w:rFonts w:ascii="Times New Roman" w:hAnsi="Times New Roman"/>
          <w:b w:val="0"/>
          <w:i w:val="0"/>
          <w:sz w:val="22"/>
        </w:rPr>
        <w:t>We would like to thank all other faculty members of Department of Computer Science &amp; Engineering, for their help and advice throughout our life in this campus.</w:t>
      </w:r>
    </w:p>
    <w:p>
      <w:pPr>
        <w:spacing w:after="1200" w:line="276" w:lineRule="auto"/>
        <w:jc w:val="both"/>
      </w:pPr>
      <w:r>
        <w:rPr>
          <w:rFonts w:ascii="Times New Roman" w:hAnsi="Times New Roman"/>
          <w:b w:val="0"/>
          <w:i w:val="0"/>
          <w:sz w:val="22"/>
        </w:rPr>
        <w:t>Finally, we are thankful to all our friends and all others who encouraged us and helped us in doing this project.</w:t>
      </w:r>
    </w:p>
    <w:p>
      <w:pPr>
        <w:spacing w:after="120" w:line="276" w:lineRule="auto"/>
        <w:jc w:val="right"/>
      </w:pPr>
      <w:r>
        <w:rPr>
          <w:rFonts w:ascii="Times New Roman" w:hAnsi="Times New Roman"/>
          <w:b/>
          <w:i w:val="0"/>
          <w:sz w:val="22"/>
        </w:rPr>
        <w:t>PROJECT CANDIDATES</w:t>
      </w:r>
    </w:p>
    <w:p>
      <w:r>
        <w:br w:type="page"/>
      </w:r>
    </w:p>
    <w:p>
      <w:pPr>
        <w:spacing w:before="280" w:after="240"/>
        <w:jc w:val="center"/>
      </w:pPr>
      <w:r>
        <w:rPr>
          <w:rFonts w:ascii="Times New Roman" w:hAnsi="Times New Roman"/>
          <w:b/>
          <w:sz w:val="28"/>
        </w:rPr>
        <w:t>ABSTRACT</w:t>
      </w:r>
    </w:p>
    <w:p>
      <w:pPr>
        <w:spacing w:after="120" w:line="276" w:lineRule="auto"/>
        <w:jc w:val="both"/>
      </w:pPr>
      <w:r>
        <w:rPr>
          <w:rFonts w:ascii="Times New Roman" w:hAnsi="Times New Roman"/>
          <w:b w:val="0"/>
          <w:i w:val="0"/>
          <w:sz w:val="22"/>
        </w:rPr>
        <w:t>Synapse BuildOS is an innovative residential building intelligence platform developed using HTML5, SVG, Three.js, TypeScript, FastAPI, and Anthropic Claude LLM. The system bridges the severe disconnect between architectural drafting, civil engineering quantity estimation, and municipal bylaw approval.</w:t>
      </w:r>
    </w:p>
    <w:p>
      <w:pPr>
        <w:spacing w:after="120" w:line="276" w:lineRule="auto"/>
        <w:jc w:val="both"/>
      </w:pPr>
      <w:r>
        <w:rPr>
          <w:rFonts w:ascii="Times New Roman" w:hAnsi="Times New Roman"/>
          <w:b w:val="0"/>
          <w:i w:val="0"/>
          <w:sz w:val="22"/>
        </w:rPr>
        <w:t>In Synapse BuildOS, room geometry serves as the immutable single source of truth. Users can ingest project briefs through scanned documents, PDFs (via OCR), or natural language prompts. The system provides an interactive 2D SVG plan editor where users manipulate rooms on a real plot in feet with automated setback buffers. Every edit instantly updates the 3D volumetric massing model with interactive walkthroughs.</w:t>
      </w:r>
    </w:p>
    <w:p>
      <w:pPr>
        <w:spacing w:after="120" w:line="276" w:lineRule="auto"/>
        <w:jc w:val="both"/>
      </w:pPr>
      <w:r>
        <w:rPr>
          <w:rFonts w:ascii="Times New Roman" w:hAnsi="Times New Roman"/>
          <w:b w:val="0"/>
          <w:i w:val="0"/>
          <w:sz w:val="22"/>
        </w:rPr>
        <w:t>An automated rule-verification engine continuously evaluates designs against the Tamil Nadu Combined Development and Building Rules (TNCDBR 2019), checking FSI, coverage, setbacks, and parking. Simultaneously, an arithmetic cost engine computes line-item civil estimates directly against the published Tamil Nadu PWD Plinth Area Rates (2025–26).</w:t>
      </w:r>
    </w:p>
    <w:p>
      <w:pPr>
        <w:spacing w:after="120" w:line="276" w:lineRule="auto"/>
        <w:jc w:val="both"/>
      </w:pPr>
      <w:r>
        <w:rPr>
          <w:rFonts w:ascii="Times New Roman" w:hAnsi="Times New Roman"/>
          <w:b w:val="0"/>
          <w:i w:val="0"/>
          <w:sz w:val="22"/>
        </w:rPr>
        <w:t>The platform calculates a comprehensive Construction Readiness Score (0–100) spanning budget fit, compliance, buildability, and sustainability, while enabling exports to IFC4, DXF, OBJ, and PDF reports. Synapse BuildOS shortens the residential pre-construction cycle from weeks to seconds.</w:t>
      </w:r>
    </w:p>
    <w:p>
      <w:r>
        <w:br w:type="page"/>
      </w:r>
    </w:p>
    <w:p>
      <w:pPr>
        <w:spacing w:before="280" w:after="240"/>
        <w:jc w:val="center"/>
      </w:pPr>
      <w:r>
        <w:rPr>
          <w:rFonts w:ascii="Times New Roman" w:hAnsi="Times New Roman"/>
          <w:b/>
          <w:sz w:val="28"/>
        </w:rPr>
        <w:t>LIST OF TABLES</w:t>
      </w:r>
    </w:p>
    <w:tbl>
      <w:tblPr>
        <w:tblW w:type="auto" w:w="0"/>
        <w:jc w:val="center"/>
        <w:tblLook w:firstColumn="1" w:firstRow="1" w:lastColumn="0" w:lastRow="0" w:noHBand="0" w:noVBand="1" w:val="04A0"/>
      </w:tblPr>
      <w:tblGrid>
        <w:gridCol w:w="3120"/>
        <w:gridCol w:w="3120"/>
        <w:gridCol w:w="3120"/>
      </w:tblGrid>
      <w:tr>
        <w:tc>
          <w:tcPr>
            <w:tcW w:type="dxa" w:w="3120"/>
          </w:tcPr>
          <w:p>
            <w:r>
              <w:t>TABLE NO.</w:t>
            </w:r>
          </w:p>
        </w:tc>
        <w:tc>
          <w:tcPr>
            <w:tcW w:type="dxa" w:w="3120"/>
          </w:tcPr>
          <w:p>
            <w:r>
              <w:t>TABLE NAME</w:t>
            </w:r>
          </w:p>
        </w:tc>
        <w:tc>
          <w:tcPr>
            <w:tcW w:type="dxa" w:w="3120"/>
          </w:tcPr>
          <w:p>
            <w:r>
              <w:t>PAGE NO.</w:t>
            </w:r>
          </w:p>
        </w:tc>
      </w:tr>
      <w:tr>
        <w:tc>
          <w:tcPr>
            <w:tcW w:type="dxa" w:w="3120"/>
          </w:tcPr>
          <w:p>
            <w:r>
              <w:t>2.1</w:t>
            </w:r>
          </w:p>
        </w:tc>
        <w:tc>
          <w:tcPr>
            <w:tcW w:type="dxa" w:w="3120"/>
          </w:tcPr>
          <w:p>
            <w:r>
              <w:t>Comparative Analysis of Existing Architectural &amp; Construction Systems</w:t>
            </w:r>
          </w:p>
        </w:tc>
        <w:tc>
          <w:tcPr>
            <w:tcW w:type="dxa" w:w="3120"/>
          </w:tcPr>
          <w:p>
            <w:r>
              <w:t>15</w:t>
            </w:r>
          </w:p>
        </w:tc>
      </w:tr>
      <w:tr>
        <w:tc>
          <w:tcPr>
            <w:tcW w:type="dxa" w:w="3120"/>
          </w:tcPr>
          <w:p>
            <w:r>
              <w:t>3.4.1</w:t>
            </w:r>
          </w:p>
        </w:tc>
        <w:tc>
          <w:tcPr>
            <w:tcW w:type="dxa" w:w="3120"/>
          </w:tcPr>
          <w:p>
            <w:r>
              <w:t>Tools and Technologies Used in Synapse BuildOS</w:t>
            </w:r>
          </w:p>
        </w:tc>
        <w:tc>
          <w:tcPr>
            <w:tcW w:type="dxa" w:w="3120"/>
          </w:tcPr>
          <w:p>
            <w:r>
              <w:t>24</w:t>
            </w:r>
          </w:p>
        </w:tc>
      </w:tr>
      <w:tr>
        <w:tc>
          <w:tcPr>
            <w:tcW w:type="dxa" w:w="3120"/>
          </w:tcPr>
          <w:p>
            <w:r>
              <w:t>4.1</w:t>
            </w:r>
          </w:p>
        </w:tc>
        <w:tc>
          <w:tcPr>
            <w:tcW w:type="dxa" w:w="3120"/>
          </w:tcPr>
          <w:p>
            <w:r>
              <w:t>Geometric Takeoff and Rule Verification Validation Results</w:t>
            </w:r>
          </w:p>
        </w:tc>
        <w:tc>
          <w:tcPr>
            <w:tcW w:type="dxa" w:w="3120"/>
          </w:tcPr>
          <w:p>
            <w:r>
              <w:t>30</w:t>
            </w:r>
          </w:p>
        </w:tc>
      </w:tr>
    </w:tbl>
    <w:p>
      <w:r>
        <w:br w:type="page"/>
      </w:r>
    </w:p>
    <w:p>
      <w:pPr>
        <w:spacing w:before="280" w:after="240"/>
        <w:jc w:val="center"/>
      </w:pPr>
      <w:r>
        <w:rPr>
          <w:rFonts w:ascii="Times New Roman" w:hAnsi="Times New Roman"/>
          <w:b/>
          <w:sz w:val="28"/>
        </w:rPr>
        <w:t>LIST OF FIGURES</w:t>
      </w:r>
    </w:p>
    <w:tbl>
      <w:tblPr>
        <w:tblW w:type="auto" w:w="0"/>
        <w:jc w:val="center"/>
        <w:tblLook w:firstColumn="1" w:firstRow="1" w:lastColumn="0" w:lastRow="0" w:noHBand="0" w:noVBand="1" w:val="04A0"/>
      </w:tblPr>
      <w:tblGrid>
        <w:gridCol w:w="3120"/>
        <w:gridCol w:w="3120"/>
        <w:gridCol w:w="3120"/>
      </w:tblGrid>
      <w:tr>
        <w:tc>
          <w:tcPr>
            <w:tcW w:type="dxa" w:w="3120"/>
          </w:tcPr>
          <w:p>
            <w:r>
              <w:t>FIGURE NO.</w:t>
            </w:r>
          </w:p>
        </w:tc>
        <w:tc>
          <w:tcPr>
            <w:tcW w:type="dxa" w:w="3120"/>
          </w:tcPr>
          <w:p>
            <w:r>
              <w:t>TITLE</w:t>
            </w:r>
          </w:p>
        </w:tc>
        <w:tc>
          <w:tcPr>
            <w:tcW w:type="dxa" w:w="3120"/>
          </w:tcPr>
          <w:p>
            <w:r>
              <w:t>PAGE NO.</w:t>
            </w:r>
          </w:p>
        </w:tc>
      </w:tr>
      <w:tr>
        <w:tc>
          <w:tcPr>
            <w:tcW w:type="dxa" w:w="3120"/>
          </w:tcPr>
          <w:p>
            <w:r>
              <w:t>1.1</w:t>
            </w:r>
          </w:p>
        </w:tc>
        <w:tc>
          <w:tcPr>
            <w:tcW w:type="dxa" w:w="3120"/>
          </w:tcPr>
          <w:p>
            <w:r>
              <w:t>Synapse BuildOS Platform Overview</w:t>
            </w:r>
          </w:p>
        </w:tc>
        <w:tc>
          <w:tcPr>
            <w:tcW w:type="dxa" w:w="3120"/>
          </w:tcPr>
          <w:p>
            <w:r>
              <w:t>11</w:t>
            </w:r>
          </w:p>
        </w:tc>
      </w:tr>
      <w:tr>
        <w:tc>
          <w:tcPr>
            <w:tcW w:type="dxa" w:w="3120"/>
          </w:tcPr>
          <w:p>
            <w:r>
              <w:t>3.1</w:t>
            </w:r>
          </w:p>
        </w:tc>
        <w:tc>
          <w:tcPr>
            <w:tcW w:type="dxa" w:w="3120"/>
          </w:tcPr>
          <w:p>
            <w:r>
              <w:t>Synapse BuildOS System Architecture</w:t>
            </w:r>
          </w:p>
        </w:tc>
        <w:tc>
          <w:tcPr>
            <w:tcW w:type="dxa" w:w="3120"/>
          </w:tcPr>
          <w:p>
            <w:r>
              <w:t>20</w:t>
            </w:r>
          </w:p>
        </w:tc>
      </w:tr>
      <w:tr>
        <w:tc>
          <w:tcPr>
            <w:tcW w:type="dxa" w:w="3120"/>
          </w:tcPr>
          <w:p>
            <w:r>
              <w:t>3.2</w:t>
            </w:r>
          </w:p>
        </w:tc>
        <w:tc>
          <w:tcPr>
            <w:tcW w:type="dxa" w:w="3120"/>
          </w:tcPr>
          <w:p>
            <w:r>
              <w:t>System Flow Diagram</w:t>
            </w:r>
          </w:p>
        </w:tc>
        <w:tc>
          <w:tcPr>
            <w:tcW w:type="dxa" w:w="3120"/>
          </w:tcPr>
          <w:p>
            <w:r>
              <w:t>22</w:t>
            </w:r>
          </w:p>
        </w:tc>
      </w:tr>
      <w:tr>
        <w:tc>
          <w:tcPr>
            <w:tcW w:type="dxa" w:w="3120"/>
          </w:tcPr>
          <w:p>
            <w:r>
              <w:t>3.3</w:t>
            </w:r>
          </w:p>
        </w:tc>
        <w:tc>
          <w:tcPr>
            <w:tcW w:type="dxa" w:w="3120"/>
          </w:tcPr>
          <w:p>
            <w:r>
              <w:t>Data Flow Diagram (Level 0 Context &amp; Level 1 Detailed DFD)</w:t>
            </w:r>
          </w:p>
        </w:tc>
        <w:tc>
          <w:tcPr>
            <w:tcW w:type="dxa" w:w="3120"/>
          </w:tcPr>
          <w:p>
            <w:r>
              <w:t>23</w:t>
            </w:r>
          </w:p>
        </w:tc>
      </w:tr>
      <w:tr>
        <w:tc>
          <w:tcPr>
            <w:tcW w:type="dxa" w:w="3120"/>
          </w:tcPr>
          <w:p>
            <w:r>
              <w:t>3.5</w:t>
            </w:r>
          </w:p>
        </w:tc>
        <w:tc>
          <w:tcPr>
            <w:tcW w:type="dxa" w:w="3120"/>
          </w:tcPr>
          <w:p>
            <w:r>
              <w:t>UML Use Case Diagram</w:t>
            </w:r>
          </w:p>
        </w:tc>
        <w:tc>
          <w:tcPr>
            <w:tcW w:type="dxa" w:w="3120"/>
          </w:tcPr>
          <w:p>
            <w:r>
              <w:t>25</w:t>
            </w:r>
          </w:p>
        </w:tc>
      </w:tr>
      <w:tr>
        <w:tc>
          <w:tcPr>
            <w:tcW w:type="dxa" w:w="3120"/>
          </w:tcPr>
          <w:p>
            <w:r>
              <w:t>4.4</w:t>
            </w:r>
          </w:p>
        </w:tc>
        <w:tc>
          <w:tcPr>
            <w:tcW w:type="dxa" w:w="3120"/>
          </w:tcPr>
          <w:p>
            <w:r>
              <w:t>Synapse BuildOS 3D Spatial Models (Exterior &amp; Axonometric)</w:t>
            </w:r>
          </w:p>
        </w:tc>
        <w:tc>
          <w:tcPr>
            <w:tcW w:type="dxa" w:w="3120"/>
          </w:tcPr>
          <w:p>
            <w:r>
              <w:t>31</w:t>
            </w:r>
          </w:p>
        </w:tc>
      </w:tr>
      <w:tr>
        <w:tc>
          <w:tcPr>
            <w:tcW w:type="dxa" w:w="3120"/>
          </w:tcPr>
          <w:p>
            <w:r>
              <w:t>4.5</w:t>
            </w:r>
          </w:p>
        </w:tc>
        <w:tc>
          <w:tcPr>
            <w:tcW w:type="dxa" w:w="3120"/>
          </w:tcPr>
          <w:p>
            <w:r>
              <w:t>Sample Architectural Design Model (Villa Harmony 3BHK Duplex — 2D Plan &amp; 3D Massing)</w:t>
            </w:r>
          </w:p>
        </w:tc>
        <w:tc>
          <w:tcPr>
            <w:tcW w:type="dxa" w:w="3120"/>
          </w:tcPr>
          <w:p>
            <w:r>
              <w:t>32</w:t>
            </w:r>
          </w:p>
        </w:tc>
      </w:tr>
    </w:tbl>
    <w:p>
      <w:r>
        <w:br w:type="page"/>
      </w:r>
    </w:p>
    <w:p>
      <w:pPr>
        <w:spacing w:before="280" w:after="240"/>
        <w:jc w:val="center"/>
      </w:pPr>
      <w:r>
        <w:rPr>
          <w:rFonts w:ascii="Times New Roman" w:hAnsi="Times New Roman"/>
          <w:b/>
          <w:sz w:val="28"/>
        </w:rPr>
        <w:t>LIST OF ABBREVIATIONS</w:t>
      </w:r>
    </w:p>
    <w:tbl>
      <w:tblPr>
        <w:tblW w:type="auto" w:w="0"/>
        <w:jc w:val="center"/>
        <w:tblLook w:firstColumn="1" w:firstRow="1" w:lastColumn="0" w:lastRow="0" w:noHBand="0" w:noVBand="1" w:val="04A0"/>
      </w:tblPr>
      <w:tblGrid>
        <w:gridCol w:w="4680"/>
        <w:gridCol w:w="4680"/>
      </w:tblGrid>
      <w:tr>
        <w:tc>
          <w:tcPr>
            <w:tcW w:type="dxa" w:w="4680"/>
          </w:tcPr>
          <w:p>
            <w:r>
              <w:t>AI</w:t>
            </w:r>
          </w:p>
        </w:tc>
        <w:tc>
          <w:tcPr>
            <w:tcW w:type="dxa" w:w="4680"/>
          </w:tcPr>
          <w:p>
            <w:r>
              <w:t>Artificial Intelligence</w:t>
            </w:r>
          </w:p>
        </w:tc>
      </w:tr>
      <w:tr>
        <w:tc>
          <w:tcPr>
            <w:tcW w:type="dxa" w:w="4680"/>
          </w:tcPr>
          <w:p>
            <w:r>
              <w:t>CAD</w:t>
            </w:r>
          </w:p>
        </w:tc>
        <w:tc>
          <w:tcPr>
            <w:tcW w:type="dxa" w:w="4680"/>
          </w:tcPr>
          <w:p>
            <w:r>
              <w:t>Computer-Aided Design</w:t>
            </w:r>
          </w:p>
        </w:tc>
      </w:tr>
      <w:tr>
        <w:tc>
          <w:tcPr>
            <w:tcW w:type="dxa" w:w="4680"/>
          </w:tcPr>
          <w:p>
            <w:r>
              <w:t>BIM</w:t>
            </w:r>
          </w:p>
        </w:tc>
        <w:tc>
          <w:tcPr>
            <w:tcW w:type="dxa" w:w="4680"/>
          </w:tcPr>
          <w:p>
            <w:r>
              <w:t>Building Information Modeling</w:t>
            </w:r>
          </w:p>
        </w:tc>
      </w:tr>
      <w:tr>
        <w:tc>
          <w:tcPr>
            <w:tcW w:type="dxa" w:w="4680"/>
          </w:tcPr>
          <w:p>
            <w:r>
              <w:t>AEC</w:t>
            </w:r>
          </w:p>
        </w:tc>
        <w:tc>
          <w:tcPr>
            <w:tcW w:type="dxa" w:w="4680"/>
          </w:tcPr>
          <w:p>
            <w:r>
              <w:t>Architecture, Engineering, and Construction</w:t>
            </w:r>
          </w:p>
        </w:tc>
      </w:tr>
      <w:tr>
        <w:tc>
          <w:tcPr>
            <w:tcW w:type="dxa" w:w="4680"/>
          </w:tcPr>
          <w:p>
            <w:r>
              <w:t>TNCDBR</w:t>
            </w:r>
          </w:p>
        </w:tc>
        <w:tc>
          <w:tcPr>
            <w:tcW w:type="dxa" w:w="4680"/>
          </w:tcPr>
          <w:p>
            <w:r>
              <w:t>Tamil Nadu Combined Development and Building Rules</w:t>
            </w:r>
          </w:p>
        </w:tc>
      </w:tr>
      <w:tr>
        <w:tc>
          <w:tcPr>
            <w:tcW w:type="dxa" w:w="4680"/>
          </w:tcPr>
          <w:p>
            <w:r>
              <w:t>PWD</w:t>
            </w:r>
          </w:p>
        </w:tc>
        <w:tc>
          <w:tcPr>
            <w:tcW w:type="dxa" w:w="4680"/>
          </w:tcPr>
          <w:p>
            <w:r>
              <w:t>Public Works Department (Tamil Nadu)</w:t>
            </w:r>
          </w:p>
        </w:tc>
      </w:tr>
      <w:tr>
        <w:tc>
          <w:tcPr>
            <w:tcW w:type="dxa" w:w="4680"/>
          </w:tcPr>
          <w:p>
            <w:r>
              <w:t>FSI</w:t>
            </w:r>
          </w:p>
        </w:tc>
        <w:tc>
          <w:tcPr>
            <w:tcW w:type="dxa" w:w="4680"/>
          </w:tcPr>
          <w:p>
            <w:r>
              <w:t>Floor Space Index</w:t>
            </w:r>
          </w:p>
        </w:tc>
      </w:tr>
      <w:tr>
        <w:tc>
          <w:tcPr>
            <w:tcW w:type="dxa" w:w="4680"/>
          </w:tcPr>
          <w:p>
            <w:r>
              <w:t>BOQ</w:t>
            </w:r>
          </w:p>
        </w:tc>
        <w:tc>
          <w:tcPr>
            <w:tcW w:type="dxa" w:w="4680"/>
          </w:tcPr>
          <w:p>
            <w:r>
              <w:t>Bill of Quantities</w:t>
            </w:r>
          </w:p>
        </w:tc>
      </w:tr>
      <w:tr>
        <w:tc>
          <w:tcPr>
            <w:tcW w:type="dxa" w:w="4680"/>
          </w:tcPr>
          <w:p>
            <w:r>
              <w:t>AABB</w:t>
            </w:r>
          </w:p>
        </w:tc>
        <w:tc>
          <w:tcPr>
            <w:tcW w:type="dxa" w:w="4680"/>
          </w:tcPr>
          <w:p>
            <w:r>
              <w:t>Axis-Aligned Bounding Box</w:t>
            </w:r>
          </w:p>
        </w:tc>
      </w:tr>
      <w:tr>
        <w:tc>
          <w:tcPr>
            <w:tcW w:type="dxa" w:w="4680"/>
          </w:tcPr>
          <w:p>
            <w:r>
              <w:t>SVG</w:t>
            </w:r>
          </w:p>
        </w:tc>
        <w:tc>
          <w:tcPr>
            <w:tcW w:type="dxa" w:w="4680"/>
          </w:tcPr>
          <w:p>
            <w:r>
              <w:t>Scalable Vector Graphics</w:t>
            </w:r>
          </w:p>
        </w:tc>
      </w:tr>
      <w:tr>
        <w:tc>
          <w:tcPr>
            <w:tcW w:type="dxa" w:w="4680"/>
          </w:tcPr>
          <w:p>
            <w:r>
              <w:t>API</w:t>
            </w:r>
          </w:p>
        </w:tc>
        <w:tc>
          <w:tcPr>
            <w:tcW w:type="dxa" w:w="4680"/>
          </w:tcPr>
          <w:p>
            <w:r>
              <w:t>Application Programming Interface</w:t>
            </w:r>
          </w:p>
        </w:tc>
      </w:tr>
      <w:tr>
        <w:tc>
          <w:tcPr>
            <w:tcW w:type="dxa" w:w="4680"/>
          </w:tcPr>
          <w:p>
            <w:r>
              <w:t>UI</w:t>
            </w:r>
          </w:p>
        </w:tc>
        <w:tc>
          <w:tcPr>
            <w:tcW w:type="dxa" w:w="4680"/>
          </w:tcPr>
          <w:p>
            <w:r>
              <w:t>User Interface</w:t>
            </w:r>
          </w:p>
        </w:tc>
      </w:tr>
      <w:tr>
        <w:tc>
          <w:tcPr>
            <w:tcW w:type="dxa" w:w="4680"/>
          </w:tcPr>
          <w:p>
            <w:r>
              <w:t>UX</w:t>
            </w:r>
          </w:p>
        </w:tc>
        <w:tc>
          <w:tcPr>
            <w:tcW w:type="dxa" w:w="4680"/>
          </w:tcPr>
          <w:p>
            <w:r>
              <w:t>User Experience</w:t>
            </w:r>
          </w:p>
        </w:tc>
      </w:tr>
      <w:tr>
        <w:tc>
          <w:tcPr>
            <w:tcW w:type="dxa" w:w="4680"/>
          </w:tcPr>
          <w:p>
            <w:r>
              <w:t>OCR</w:t>
            </w:r>
          </w:p>
        </w:tc>
        <w:tc>
          <w:tcPr>
            <w:tcW w:type="dxa" w:w="4680"/>
          </w:tcPr>
          <w:p>
            <w:r>
              <w:t>Optical Character Recognition</w:t>
            </w:r>
          </w:p>
        </w:tc>
      </w:tr>
      <w:tr>
        <w:tc>
          <w:tcPr>
            <w:tcW w:type="dxa" w:w="4680"/>
          </w:tcPr>
          <w:p>
            <w:r>
              <w:t>LLM</w:t>
            </w:r>
          </w:p>
        </w:tc>
        <w:tc>
          <w:tcPr>
            <w:tcW w:type="dxa" w:w="4680"/>
          </w:tcPr>
          <w:p>
            <w:r>
              <w:t>Large Language Model</w:t>
            </w:r>
          </w:p>
        </w:tc>
      </w:tr>
      <w:tr>
        <w:tc>
          <w:tcPr>
            <w:tcW w:type="dxa" w:w="4680"/>
          </w:tcPr>
          <w:p>
            <w:r>
              <w:t>IFC</w:t>
            </w:r>
          </w:p>
        </w:tc>
        <w:tc>
          <w:tcPr>
            <w:tcW w:type="dxa" w:w="4680"/>
          </w:tcPr>
          <w:p>
            <w:r>
              <w:t>Industry Foundation Classes (IFC4)</w:t>
            </w:r>
          </w:p>
        </w:tc>
      </w:tr>
      <w:tr>
        <w:tc>
          <w:tcPr>
            <w:tcW w:type="dxa" w:w="4680"/>
          </w:tcPr>
          <w:p>
            <w:r>
              <w:t>DXF</w:t>
            </w:r>
          </w:p>
        </w:tc>
        <w:tc>
          <w:tcPr>
            <w:tcW w:type="dxa" w:w="4680"/>
          </w:tcPr>
          <w:p>
            <w:r>
              <w:t>Drawing Exchange Format</w:t>
            </w:r>
          </w:p>
        </w:tc>
      </w:tr>
    </w:tbl>
    <w:p>
      <w:r>
        <w:br w:type="page"/>
      </w:r>
    </w:p>
    <w:p>
      <w:pPr>
        <w:spacing w:before="280" w:after="24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3120"/>
          </w:tcPr>
          <w:p>
            <w:r>
              <w:t>CHAPTER NO.</w:t>
            </w:r>
          </w:p>
        </w:tc>
        <w:tc>
          <w:tcPr>
            <w:tcW w:type="dxa" w:w="3120"/>
          </w:tcPr>
          <w:p>
            <w:r>
              <w:t>TITLE</w:t>
            </w:r>
          </w:p>
        </w:tc>
        <w:tc>
          <w:tcPr>
            <w:tcW w:type="dxa" w:w="3120"/>
          </w:tcPr>
          <w:p>
            <w:r>
              <w:t>PAGE NO.</w:t>
            </w:r>
          </w:p>
        </w:tc>
      </w:tr>
      <w:tr>
        <w:tc>
          <w:tcPr>
            <w:tcW w:type="dxa" w:w="3120"/>
          </w:tcPr>
          <w:p>
            <w:r/>
          </w:p>
        </w:tc>
        <w:tc>
          <w:tcPr>
            <w:tcW w:type="dxa" w:w="3120"/>
          </w:tcPr>
          <w:p>
            <w:r>
              <w:t>ABSTRACT</w:t>
            </w:r>
          </w:p>
        </w:tc>
        <w:tc>
          <w:tcPr>
            <w:tcW w:type="dxa" w:w="3120"/>
          </w:tcPr>
          <w:p>
            <w:r>
              <w:t>5</w:t>
            </w:r>
          </w:p>
        </w:tc>
      </w:tr>
      <w:tr>
        <w:tc>
          <w:tcPr>
            <w:tcW w:type="dxa" w:w="3120"/>
          </w:tcPr>
          <w:p>
            <w:r/>
          </w:p>
        </w:tc>
        <w:tc>
          <w:tcPr>
            <w:tcW w:type="dxa" w:w="3120"/>
          </w:tcPr>
          <w:p>
            <w:r>
              <w:t>LIST OF TABLES</w:t>
            </w:r>
          </w:p>
        </w:tc>
        <w:tc>
          <w:tcPr>
            <w:tcW w:type="dxa" w:w="3120"/>
          </w:tcPr>
          <w:p>
            <w:r>
              <w:t>6</w:t>
            </w:r>
          </w:p>
        </w:tc>
      </w:tr>
      <w:tr>
        <w:tc>
          <w:tcPr>
            <w:tcW w:type="dxa" w:w="3120"/>
          </w:tcPr>
          <w:p>
            <w:r/>
          </w:p>
        </w:tc>
        <w:tc>
          <w:tcPr>
            <w:tcW w:type="dxa" w:w="3120"/>
          </w:tcPr>
          <w:p>
            <w:r>
              <w:t>LIST OF FIGURES</w:t>
            </w:r>
          </w:p>
        </w:tc>
        <w:tc>
          <w:tcPr>
            <w:tcW w:type="dxa" w:w="3120"/>
          </w:tcPr>
          <w:p>
            <w:r>
              <w:t>7</w:t>
            </w:r>
          </w:p>
        </w:tc>
      </w:tr>
      <w:tr>
        <w:tc>
          <w:tcPr>
            <w:tcW w:type="dxa" w:w="3120"/>
          </w:tcPr>
          <w:p>
            <w:r/>
          </w:p>
        </w:tc>
        <w:tc>
          <w:tcPr>
            <w:tcW w:type="dxa" w:w="3120"/>
          </w:tcPr>
          <w:p>
            <w:r>
              <w:t>LIST OF ABBREVIATIONS</w:t>
            </w:r>
          </w:p>
        </w:tc>
        <w:tc>
          <w:tcPr>
            <w:tcW w:type="dxa" w:w="3120"/>
          </w:tcPr>
          <w:p>
            <w:r>
              <w:t>8</w:t>
            </w:r>
          </w:p>
        </w:tc>
      </w:tr>
      <w:tr>
        <w:tc>
          <w:tcPr>
            <w:tcW w:type="dxa" w:w="3120"/>
          </w:tcPr>
          <w:p>
            <w:r>
              <w:t>1.</w:t>
            </w:r>
          </w:p>
        </w:tc>
        <w:tc>
          <w:tcPr>
            <w:tcW w:type="dxa" w:w="3120"/>
          </w:tcPr>
          <w:p>
            <w:r>
              <w:t>INTRODUCTION</w:t>
            </w:r>
          </w:p>
        </w:tc>
        <w:tc>
          <w:tcPr>
            <w:tcW w:type="dxa" w:w="3120"/>
          </w:tcPr>
          <w:p>
            <w:r>
              <w:t>11</w:t>
            </w:r>
          </w:p>
        </w:tc>
      </w:tr>
      <w:tr>
        <w:tc>
          <w:tcPr>
            <w:tcW w:type="dxa" w:w="3120"/>
          </w:tcPr>
          <w:p>
            <w:r>
              <w:t>1.1</w:t>
            </w:r>
          </w:p>
        </w:tc>
        <w:tc>
          <w:tcPr>
            <w:tcW w:type="dxa" w:w="3120"/>
          </w:tcPr>
          <w:p>
            <w:r>
              <w:t>Overview</w:t>
            </w:r>
          </w:p>
        </w:tc>
        <w:tc>
          <w:tcPr>
            <w:tcW w:type="dxa" w:w="3120"/>
          </w:tcPr>
          <w:p>
            <w:r>
              <w:t>11</w:t>
            </w:r>
          </w:p>
        </w:tc>
      </w:tr>
      <w:tr>
        <w:tc>
          <w:tcPr>
            <w:tcW w:type="dxa" w:w="3120"/>
          </w:tcPr>
          <w:p>
            <w:r>
              <w:t>1.2</w:t>
            </w:r>
          </w:p>
        </w:tc>
        <w:tc>
          <w:tcPr>
            <w:tcW w:type="dxa" w:w="3120"/>
          </w:tcPr>
          <w:p>
            <w:r>
              <w:t>Motivation</w:t>
            </w:r>
          </w:p>
        </w:tc>
        <w:tc>
          <w:tcPr>
            <w:tcW w:type="dxa" w:w="3120"/>
          </w:tcPr>
          <w:p>
            <w:r>
              <w:t>12</w:t>
            </w:r>
          </w:p>
        </w:tc>
      </w:tr>
      <w:tr>
        <w:tc>
          <w:tcPr>
            <w:tcW w:type="dxa" w:w="3120"/>
          </w:tcPr>
          <w:p>
            <w:r>
              <w:t>1.3</w:t>
            </w:r>
          </w:p>
        </w:tc>
        <w:tc>
          <w:tcPr>
            <w:tcW w:type="dxa" w:w="3120"/>
          </w:tcPr>
          <w:p>
            <w:r>
              <w:t>Objective</w:t>
            </w:r>
          </w:p>
        </w:tc>
        <w:tc>
          <w:tcPr>
            <w:tcW w:type="dxa" w:w="3120"/>
          </w:tcPr>
          <w:p>
            <w:r>
              <w:t>12</w:t>
            </w:r>
          </w:p>
        </w:tc>
      </w:tr>
      <w:tr>
        <w:tc>
          <w:tcPr>
            <w:tcW w:type="dxa" w:w="3120"/>
          </w:tcPr>
          <w:p>
            <w:r>
              <w:t>1.4</w:t>
            </w:r>
          </w:p>
        </w:tc>
        <w:tc>
          <w:tcPr>
            <w:tcW w:type="dxa" w:w="3120"/>
          </w:tcPr>
          <w:p>
            <w:r>
              <w:t>Scope</w:t>
            </w:r>
          </w:p>
        </w:tc>
        <w:tc>
          <w:tcPr>
            <w:tcW w:type="dxa" w:w="3120"/>
          </w:tcPr>
          <w:p>
            <w:r>
              <w:t>13</w:t>
            </w:r>
          </w:p>
        </w:tc>
      </w:tr>
      <w:tr>
        <w:tc>
          <w:tcPr>
            <w:tcW w:type="dxa" w:w="3120"/>
          </w:tcPr>
          <w:p>
            <w:r>
              <w:t>1.5</w:t>
            </w:r>
          </w:p>
        </w:tc>
        <w:tc>
          <w:tcPr>
            <w:tcW w:type="dxa" w:w="3120"/>
          </w:tcPr>
          <w:p>
            <w:r>
              <w:t>Significance of the study</w:t>
            </w:r>
          </w:p>
        </w:tc>
        <w:tc>
          <w:tcPr>
            <w:tcW w:type="dxa" w:w="3120"/>
          </w:tcPr>
          <w:p>
            <w:r>
              <w:t>13</w:t>
            </w:r>
          </w:p>
        </w:tc>
      </w:tr>
      <w:tr>
        <w:tc>
          <w:tcPr>
            <w:tcW w:type="dxa" w:w="3120"/>
          </w:tcPr>
          <w:p>
            <w:r>
              <w:t>2.</w:t>
            </w:r>
          </w:p>
        </w:tc>
        <w:tc>
          <w:tcPr>
            <w:tcW w:type="dxa" w:w="3120"/>
          </w:tcPr>
          <w:p>
            <w:r>
              <w:t>LITERATURE SURVEY</w:t>
            </w:r>
          </w:p>
        </w:tc>
        <w:tc>
          <w:tcPr>
            <w:tcW w:type="dxa" w:w="3120"/>
          </w:tcPr>
          <w:p>
            <w:r>
              <w:t>14</w:t>
            </w:r>
          </w:p>
        </w:tc>
      </w:tr>
      <w:tr>
        <w:tc>
          <w:tcPr>
            <w:tcW w:type="dxa" w:w="3120"/>
          </w:tcPr>
          <w:p>
            <w:r>
              <w:t>2.1</w:t>
            </w:r>
          </w:p>
        </w:tc>
        <w:tc>
          <w:tcPr>
            <w:tcW w:type="dxa" w:w="3120"/>
          </w:tcPr>
          <w:p>
            <w:r>
              <w:t>Existing systems and comparative analysis</w:t>
            </w:r>
          </w:p>
        </w:tc>
        <w:tc>
          <w:tcPr>
            <w:tcW w:type="dxa" w:w="3120"/>
          </w:tcPr>
          <w:p>
            <w:r>
              <w:t>14</w:t>
            </w:r>
          </w:p>
        </w:tc>
      </w:tr>
      <w:tr>
        <w:tc>
          <w:tcPr>
            <w:tcW w:type="dxa" w:w="3120"/>
          </w:tcPr>
          <w:p>
            <w:r>
              <w:t>2.2</w:t>
            </w:r>
          </w:p>
        </w:tc>
        <w:tc>
          <w:tcPr>
            <w:tcW w:type="dxa" w:w="3120"/>
          </w:tcPr>
          <w:p>
            <w:r>
              <w:t>Computational geometry and generative AI in residential CAD</w:t>
            </w:r>
          </w:p>
        </w:tc>
        <w:tc>
          <w:tcPr>
            <w:tcW w:type="dxa" w:w="3120"/>
          </w:tcPr>
          <w:p>
            <w:r>
              <w:t>16</w:t>
            </w:r>
          </w:p>
        </w:tc>
      </w:tr>
      <w:tr>
        <w:tc>
          <w:tcPr>
            <w:tcW w:type="dxa" w:w="3120"/>
          </w:tcPr>
          <w:p>
            <w:r>
              <w:t>2.3</w:t>
            </w:r>
          </w:p>
        </w:tc>
        <w:tc>
          <w:tcPr>
            <w:tcW w:type="dxa" w:w="3120"/>
          </w:tcPr>
          <w:p>
            <w:r>
              <w:t>Automated building bylaw compliance and PWD estimation</w:t>
            </w:r>
          </w:p>
        </w:tc>
        <w:tc>
          <w:tcPr>
            <w:tcW w:type="dxa" w:w="3120"/>
          </w:tcPr>
          <w:p>
            <w:r>
              <w:t>17</w:t>
            </w:r>
          </w:p>
        </w:tc>
      </w:tr>
      <w:tr>
        <w:tc>
          <w:tcPr>
            <w:tcW w:type="dxa" w:w="3120"/>
          </w:tcPr>
          <w:p>
            <w:r>
              <w:t>2.4</w:t>
            </w:r>
          </w:p>
        </w:tc>
        <w:tc>
          <w:tcPr>
            <w:tcW w:type="dxa" w:w="3120"/>
          </w:tcPr>
          <w:p>
            <w:r>
              <w:t>Research gap</w:t>
            </w:r>
          </w:p>
        </w:tc>
        <w:tc>
          <w:tcPr>
            <w:tcW w:type="dxa" w:w="3120"/>
          </w:tcPr>
          <w:p>
            <w:r>
              <w:t>17</w:t>
            </w:r>
          </w:p>
        </w:tc>
      </w:tr>
      <w:tr>
        <w:tc>
          <w:tcPr>
            <w:tcW w:type="dxa" w:w="3120"/>
          </w:tcPr>
          <w:p>
            <w:r>
              <w:t>3.</w:t>
            </w:r>
          </w:p>
        </w:tc>
        <w:tc>
          <w:tcPr>
            <w:tcW w:type="dxa" w:w="3120"/>
          </w:tcPr>
          <w:p>
            <w:r>
              <w:t>SYSTEM DESIGN AND IMPLEMENTATION</w:t>
            </w:r>
          </w:p>
        </w:tc>
        <w:tc>
          <w:tcPr>
            <w:tcW w:type="dxa" w:w="3120"/>
          </w:tcPr>
          <w:p>
            <w:r>
              <w:t>19</w:t>
            </w:r>
          </w:p>
        </w:tc>
      </w:tr>
      <w:tr>
        <w:tc>
          <w:tcPr>
            <w:tcW w:type="dxa" w:w="3120"/>
          </w:tcPr>
          <w:p>
            <w:r>
              <w:t>3.1</w:t>
            </w:r>
          </w:p>
        </w:tc>
        <w:tc>
          <w:tcPr>
            <w:tcW w:type="dxa" w:w="3120"/>
          </w:tcPr>
          <w:p>
            <w:r>
              <w:t>System overview</w:t>
            </w:r>
          </w:p>
        </w:tc>
        <w:tc>
          <w:tcPr>
            <w:tcW w:type="dxa" w:w="3120"/>
          </w:tcPr>
          <w:p>
            <w:r>
              <w:t>19</w:t>
            </w:r>
          </w:p>
        </w:tc>
      </w:tr>
      <w:tr>
        <w:tc>
          <w:tcPr>
            <w:tcW w:type="dxa" w:w="3120"/>
          </w:tcPr>
          <w:p>
            <w:r>
              <w:t>3.2</w:t>
            </w:r>
          </w:p>
        </w:tc>
        <w:tc>
          <w:tcPr>
            <w:tcW w:type="dxa" w:w="3120"/>
          </w:tcPr>
          <w:p>
            <w:r>
              <w:t>System architecture</w:t>
            </w:r>
          </w:p>
        </w:tc>
        <w:tc>
          <w:tcPr>
            <w:tcW w:type="dxa" w:w="3120"/>
          </w:tcPr>
          <w:p>
            <w:r>
              <w:t>19</w:t>
            </w:r>
          </w:p>
        </w:tc>
      </w:tr>
      <w:tr>
        <w:tc>
          <w:tcPr>
            <w:tcW w:type="dxa" w:w="3120"/>
          </w:tcPr>
          <w:p>
            <w:r>
              <w:t>3.3</w:t>
            </w:r>
          </w:p>
        </w:tc>
        <w:tc>
          <w:tcPr>
            <w:tcW w:type="dxa" w:w="3120"/>
          </w:tcPr>
          <w:p>
            <w:r>
              <w:t>System flow</w:t>
            </w:r>
          </w:p>
        </w:tc>
        <w:tc>
          <w:tcPr>
            <w:tcW w:type="dxa" w:w="3120"/>
          </w:tcPr>
          <w:p>
            <w:r>
              <w:t>21</w:t>
            </w:r>
          </w:p>
        </w:tc>
      </w:tr>
      <w:tr>
        <w:tc>
          <w:tcPr>
            <w:tcW w:type="dxa" w:w="3120"/>
          </w:tcPr>
          <w:p>
            <w:r>
              <w:t>3.4</w:t>
            </w:r>
          </w:p>
        </w:tc>
        <w:tc>
          <w:tcPr>
            <w:tcW w:type="dxa" w:w="3120"/>
          </w:tcPr>
          <w:p>
            <w:r>
              <w:t>Data flow diagram (DFD)</w:t>
            </w:r>
          </w:p>
        </w:tc>
        <w:tc>
          <w:tcPr>
            <w:tcW w:type="dxa" w:w="3120"/>
          </w:tcPr>
          <w:p>
            <w:r>
              <w:t>22</w:t>
            </w:r>
          </w:p>
        </w:tc>
      </w:tr>
      <w:tr>
        <w:tc>
          <w:tcPr>
            <w:tcW w:type="dxa" w:w="3120"/>
          </w:tcPr>
          <w:p>
            <w:r>
              <w:t>3.4.1</w:t>
            </w:r>
          </w:p>
        </w:tc>
        <w:tc>
          <w:tcPr>
            <w:tcW w:type="dxa" w:w="3120"/>
          </w:tcPr>
          <w:p>
            <w:r>
              <w:t>Tools and technologies used</w:t>
            </w:r>
          </w:p>
        </w:tc>
        <w:tc>
          <w:tcPr>
            <w:tcW w:type="dxa" w:w="3120"/>
          </w:tcPr>
          <w:p>
            <w:r>
              <w:t>24</w:t>
            </w:r>
          </w:p>
        </w:tc>
      </w:tr>
      <w:tr>
        <w:tc>
          <w:tcPr>
            <w:tcW w:type="dxa" w:w="3120"/>
          </w:tcPr>
          <w:p>
            <w:r>
              <w:t>3.5</w:t>
            </w:r>
          </w:p>
        </w:tc>
        <w:tc>
          <w:tcPr>
            <w:tcW w:type="dxa" w:w="3120"/>
          </w:tcPr>
          <w:p>
            <w:r>
              <w:t>Use case diagram</w:t>
            </w:r>
          </w:p>
        </w:tc>
        <w:tc>
          <w:tcPr>
            <w:tcW w:type="dxa" w:w="3120"/>
          </w:tcPr>
          <w:p>
            <w:r>
              <w:t>25</w:t>
            </w:r>
          </w:p>
        </w:tc>
      </w:tr>
      <w:tr>
        <w:tc>
          <w:tcPr>
            <w:tcW w:type="dxa" w:w="3120"/>
          </w:tcPr>
          <w:p>
            <w:r>
              <w:t>3.6</w:t>
            </w:r>
          </w:p>
        </w:tc>
        <w:tc>
          <w:tcPr>
            <w:tcW w:type="dxa" w:w="3120"/>
          </w:tcPr>
          <w:p>
            <w:r>
              <w:t>System modules description</w:t>
            </w:r>
          </w:p>
        </w:tc>
        <w:tc>
          <w:tcPr>
            <w:tcW w:type="dxa" w:w="3120"/>
          </w:tcPr>
          <w:p>
            <w:r>
              <w:t>25</w:t>
            </w:r>
          </w:p>
        </w:tc>
      </w:tr>
      <w:tr>
        <w:tc>
          <w:tcPr>
            <w:tcW w:type="dxa" w:w="3120"/>
          </w:tcPr>
          <w:p>
            <w:r>
              <w:t>3.7</w:t>
            </w:r>
          </w:p>
        </w:tc>
        <w:tc>
          <w:tcPr>
            <w:tcW w:type="dxa" w:w="3120"/>
          </w:tcPr>
          <w:p>
            <w:r>
              <w:t>Implementation detail</w:t>
            </w:r>
          </w:p>
        </w:tc>
        <w:tc>
          <w:tcPr>
            <w:tcW w:type="dxa" w:w="3120"/>
          </w:tcPr>
          <w:p>
            <w:r>
              <w:t>26</w:t>
            </w:r>
          </w:p>
        </w:tc>
      </w:tr>
      <w:tr>
        <w:tc>
          <w:tcPr>
            <w:tcW w:type="dxa" w:w="3120"/>
          </w:tcPr>
          <w:p>
            <w:r>
              <w:t>3.8</w:t>
            </w:r>
          </w:p>
        </w:tc>
        <w:tc>
          <w:tcPr>
            <w:tcW w:type="dxa" w:w="3120"/>
          </w:tcPr>
          <w:p>
            <w:r>
              <w:t>Implementation process</w:t>
            </w:r>
          </w:p>
        </w:tc>
        <w:tc>
          <w:tcPr>
            <w:tcW w:type="dxa" w:w="3120"/>
          </w:tcPr>
          <w:p>
            <w:r>
              <w:t>27</w:t>
            </w:r>
          </w:p>
        </w:tc>
      </w:tr>
      <w:tr>
        <w:tc>
          <w:tcPr>
            <w:tcW w:type="dxa" w:w="3120"/>
          </w:tcPr>
          <w:p>
            <w:r>
              <w:t>3.9</w:t>
            </w:r>
          </w:p>
        </w:tc>
        <w:tc>
          <w:tcPr>
            <w:tcW w:type="dxa" w:w="3120"/>
          </w:tcPr>
          <w:p>
            <w:r>
              <w:t>Advantages of the system</w:t>
            </w:r>
          </w:p>
        </w:tc>
        <w:tc>
          <w:tcPr>
            <w:tcW w:type="dxa" w:w="3120"/>
          </w:tcPr>
          <w:p>
            <w:r>
              <w:t>27</w:t>
            </w:r>
          </w:p>
        </w:tc>
      </w:tr>
      <w:tr>
        <w:tc>
          <w:tcPr>
            <w:tcW w:type="dxa" w:w="3120"/>
          </w:tcPr>
          <w:p>
            <w:r>
              <w:t>3.10</w:t>
            </w:r>
          </w:p>
        </w:tc>
        <w:tc>
          <w:tcPr>
            <w:tcW w:type="dxa" w:w="3120"/>
          </w:tcPr>
          <w:p>
            <w:r>
              <w:t>Challenges faced during implementation</w:t>
            </w:r>
          </w:p>
        </w:tc>
        <w:tc>
          <w:tcPr>
            <w:tcW w:type="dxa" w:w="3120"/>
          </w:tcPr>
          <w:p>
            <w:r>
              <w:t>28</w:t>
            </w:r>
          </w:p>
        </w:tc>
      </w:tr>
      <w:tr>
        <w:tc>
          <w:tcPr>
            <w:tcW w:type="dxa" w:w="3120"/>
          </w:tcPr>
          <w:p>
            <w:r>
              <w:t>4.</w:t>
            </w:r>
          </w:p>
        </w:tc>
        <w:tc>
          <w:tcPr>
            <w:tcW w:type="dxa" w:w="3120"/>
          </w:tcPr>
          <w:p>
            <w:r>
              <w:t>TESTING AND RESULT</w:t>
            </w:r>
          </w:p>
        </w:tc>
        <w:tc>
          <w:tcPr>
            <w:tcW w:type="dxa" w:w="3120"/>
          </w:tcPr>
          <w:p>
            <w:r>
              <w:t>29</w:t>
            </w:r>
          </w:p>
        </w:tc>
      </w:tr>
      <w:tr>
        <w:tc>
          <w:tcPr>
            <w:tcW w:type="dxa" w:w="3120"/>
          </w:tcPr>
          <w:p>
            <w:r>
              <w:t>4.1</w:t>
            </w:r>
          </w:p>
        </w:tc>
        <w:tc>
          <w:tcPr>
            <w:tcW w:type="dxa" w:w="3120"/>
          </w:tcPr>
          <w:p>
            <w:r>
              <w:t>Introduction</w:t>
            </w:r>
          </w:p>
        </w:tc>
        <w:tc>
          <w:tcPr>
            <w:tcW w:type="dxa" w:w="3120"/>
          </w:tcPr>
          <w:p>
            <w:r>
              <w:t>29</w:t>
            </w:r>
          </w:p>
        </w:tc>
      </w:tr>
      <w:tr>
        <w:tc>
          <w:tcPr>
            <w:tcW w:type="dxa" w:w="3120"/>
          </w:tcPr>
          <w:p>
            <w:r>
              <w:t>4.2</w:t>
            </w:r>
          </w:p>
        </w:tc>
        <w:tc>
          <w:tcPr>
            <w:tcW w:type="dxa" w:w="3120"/>
          </w:tcPr>
          <w:p>
            <w:r>
              <w:t>Types of testing</w:t>
            </w:r>
          </w:p>
        </w:tc>
        <w:tc>
          <w:tcPr>
            <w:tcW w:type="dxa" w:w="3120"/>
          </w:tcPr>
          <w:p>
            <w:r>
              <w:t>29</w:t>
            </w:r>
          </w:p>
        </w:tc>
      </w:tr>
      <w:tr>
        <w:tc>
          <w:tcPr>
            <w:tcW w:type="dxa" w:w="3120"/>
          </w:tcPr>
          <w:p>
            <w:r>
              <w:t>4.3</w:t>
            </w:r>
          </w:p>
        </w:tc>
        <w:tc>
          <w:tcPr>
            <w:tcW w:type="dxa" w:w="3120"/>
          </w:tcPr>
          <w:p>
            <w:r>
              <w:t>Testing procedures</w:t>
            </w:r>
          </w:p>
        </w:tc>
        <w:tc>
          <w:tcPr>
            <w:tcW w:type="dxa" w:w="3120"/>
          </w:tcPr>
          <w:p>
            <w:r>
              <w:t>30</w:t>
            </w:r>
          </w:p>
        </w:tc>
      </w:tr>
      <w:tr>
        <w:tc>
          <w:tcPr>
            <w:tcW w:type="dxa" w:w="3120"/>
          </w:tcPr>
          <w:p>
            <w:r>
              <w:t>4.4</w:t>
            </w:r>
          </w:p>
        </w:tc>
        <w:tc>
          <w:tcPr>
            <w:tcW w:type="dxa" w:w="3120"/>
          </w:tcPr>
          <w:p>
            <w:r>
              <w:t>Results</w:t>
            </w:r>
          </w:p>
        </w:tc>
        <w:tc>
          <w:tcPr>
            <w:tcW w:type="dxa" w:w="3120"/>
          </w:tcPr>
          <w:p>
            <w:r>
              <w:t>31</w:t>
            </w:r>
          </w:p>
        </w:tc>
      </w:tr>
      <w:tr>
        <w:tc>
          <w:tcPr>
            <w:tcW w:type="dxa" w:w="3120"/>
          </w:tcPr>
          <w:p>
            <w:r>
              <w:t>4.5</w:t>
            </w:r>
          </w:p>
        </w:tc>
        <w:tc>
          <w:tcPr>
            <w:tcW w:type="dxa" w:w="3120"/>
          </w:tcPr>
          <w:p>
            <w:r>
              <w:t>Conclusion of testing</w:t>
            </w:r>
          </w:p>
        </w:tc>
        <w:tc>
          <w:tcPr>
            <w:tcW w:type="dxa" w:w="3120"/>
          </w:tcPr>
          <w:p>
            <w:r>
              <w:t>32</w:t>
            </w:r>
          </w:p>
        </w:tc>
      </w:tr>
      <w:tr>
        <w:tc>
          <w:tcPr>
            <w:tcW w:type="dxa" w:w="3120"/>
          </w:tcPr>
          <w:p>
            <w:r>
              <w:t>5.</w:t>
            </w:r>
          </w:p>
        </w:tc>
        <w:tc>
          <w:tcPr>
            <w:tcW w:type="dxa" w:w="3120"/>
          </w:tcPr>
          <w:p>
            <w:r>
              <w:t>CONCLUSION AND FUTURE WORK</w:t>
            </w:r>
          </w:p>
        </w:tc>
        <w:tc>
          <w:tcPr>
            <w:tcW w:type="dxa" w:w="3120"/>
          </w:tcPr>
          <w:p>
            <w:r>
              <w:t>33</w:t>
            </w:r>
          </w:p>
        </w:tc>
      </w:tr>
      <w:tr>
        <w:tc>
          <w:tcPr>
            <w:tcW w:type="dxa" w:w="3120"/>
          </w:tcPr>
          <w:p>
            <w:r>
              <w:t>5.1</w:t>
            </w:r>
          </w:p>
        </w:tc>
        <w:tc>
          <w:tcPr>
            <w:tcW w:type="dxa" w:w="3120"/>
          </w:tcPr>
          <w:p>
            <w:r>
              <w:t>Conclusion</w:t>
            </w:r>
          </w:p>
        </w:tc>
        <w:tc>
          <w:tcPr>
            <w:tcW w:type="dxa" w:w="3120"/>
          </w:tcPr>
          <w:p>
            <w:r>
              <w:t>33</w:t>
            </w:r>
          </w:p>
        </w:tc>
      </w:tr>
      <w:tr>
        <w:tc>
          <w:tcPr>
            <w:tcW w:type="dxa" w:w="3120"/>
          </w:tcPr>
          <w:p>
            <w:r>
              <w:t>5.2</w:t>
            </w:r>
          </w:p>
        </w:tc>
        <w:tc>
          <w:tcPr>
            <w:tcW w:type="dxa" w:w="3120"/>
          </w:tcPr>
          <w:p>
            <w:r>
              <w:t>Future work</w:t>
            </w:r>
          </w:p>
        </w:tc>
        <w:tc>
          <w:tcPr>
            <w:tcW w:type="dxa" w:w="3120"/>
          </w:tcPr>
          <w:p>
            <w:r>
              <w:t>34</w:t>
            </w:r>
          </w:p>
        </w:tc>
      </w:tr>
      <w:tr>
        <w:tc>
          <w:tcPr>
            <w:tcW w:type="dxa" w:w="3120"/>
          </w:tcPr>
          <w:p>
            <w:r/>
          </w:p>
        </w:tc>
        <w:tc>
          <w:tcPr>
            <w:tcW w:type="dxa" w:w="3120"/>
          </w:tcPr>
          <w:p>
            <w:r>
              <w:t>APPENDIX 1: SAMPLE CODE</w:t>
            </w:r>
          </w:p>
        </w:tc>
        <w:tc>
          <w:tcPr>
            <w:tcW w:type="dxa" w:w="3120"/>
          </w:tcPr>
          <w:p>
            <w:r>
              <w:t>35</w:t>
            </w:r>
          </w:p>
        </w:tc>
      </w:tr>
      <w:tr>
        <w:tc>
          <w:tcPr>
            <w:tcW w:type="dxa" w:w="3120"/>
          </w:tcPr>
          <w:p>
            <w:r/>
          </w:p>
        </w:tc>
        <w:tc>
          <w:tcPr>
            <w:tcW w:type="dxa" w:w="3120"/>
          </w:tcPr>
          <w:p>
            <w:r>
              <w:t>REFERENCES</w:t>
            </w:r>
          </w:p>
        </w:tc>
        <w:tc>
          <w:tcPr>
            <w:tcW w:type="dxa" w:w="3120"/>
          </w:tcPr>
          <w:p>
            <w:r>
              <w:t>48</w:t>
            </w:r>
          </w:p>
        </w:tc>
      </w:tr>
    </w:tbl>
    <w:p>
      <w:r>
        <w:br w:type="page"/>
      </w:r>
    </w:p>
    <w:p>
      <w:pPr>
        <w:spacing w:before="280" w:after="240"/>
        <w:jc w:val="center"/>
      </w:pPr>
      <w:r>
        <w:rPr>
          <w:rFonts w:ascii="Times New Roman" w:hAnsi="Times New Roman"/>
          <w:b/>
          <w:sz w:val="28"/>
        </w:rPr>
        <w:t>CHAPTER 1</w:t>
        <w:br/>
        <w:t>INTRODUCTION</w:t>
      </w:r>
    </w:p>
    <w:p>
      <w:pPr>
        <w:spacing w:before="200" w:after="80"/>
        <w:jc w:val="left"/>
      </w:pPr>
      <w:r>
        <w:rPr>
          <w:rFonts w:ascii="Times New Roman" w:hAnsi="Times New Roman"/>
          <w:b/>
          <w:sz w:val="24"/>
        </w:rPr>
        <w:t>1.1 OVERVIEW</w:t>
      </w:r>
    </w:p>
    <w:p>
      <w:pPr>
        <w:spacing w:after="120" w:line="276" w:lineRule="auto"/>
        <w:jc w:val="both"/>
      </w:pPr>
      <w:r>
        <w:rPr>
          <w:rFonts w:ascii="Times New Roman" w:hAnsi="Times New Roman"/>
          <w:b w:val="0"/>
          <w:i w:val="0"/>
          <w:sz w:val="22"/>
        </w:rPr>
        <w:t>Synapse BuildOS is an innovative architectural CAD, estimation, and statutory compliance platform developed using HTML5, SVG, JavaScript, Three.js, FastAPI, and Anthropic Claude. The system is designed to eliminate the severe real-world disconnect between architectural drafting, civil engineering quantity estimation, and municipal bylaw approval.</w:t>
      </w:r>
    </w:p>
    <w:p>
      <w:pPr>
        <w:spacing w:after="120" w:line="276" w:lineRule="auto"/>
        <w:jc w:val="both"/>
      </w:pPr>
      <w:r>
        <w:rPr>
          <w:rFonts w:ascii="Times New Roman" w:hAnsi="Times New Roman"/>
          <w:b w:val="0"/>
          <w:i w:val="0"/>
          <w:sz w:val="22"/>
        </w:rPr>
        <w:t>In traditional residential construction, drafting a floor plan in AutoCAD, calculating quantity takeoff in Excel, and checking compliance against municipal building codes (such as TNCDBR 2019) occur in isolated silos. When a client requests a modification, the entire process must be manually repeated, causing costly project delays.</w:t>
      </w:r>
    </w:p>
    <w:p>
      <w:pPr>
        <w:spacing w:after="120" w:line="276" w:lineRule="auto"/>
        <w:jc w:val="both"/>
      </w:pPr>
      <w:r>
        <w:rPr>
          <w:rFonts w:ascii="Times New Roman" w:hAnsi="Times New Roman"/>
          <w:b w:val="0"/>
          <w:i w:val="0"/>
          <w:sz w:val="22"/>
        </w:rPr>
        <w:t>Synapse BuildOS establishes room geometry as the immutable single source of truth. Rooms are modeled as rectangles in feet. From these rectangles, built-up areas, wall surface runs, door/window schedules, FSI, coverage, setbacks, and PWD plinth-area costs follow automatically and deterministically.</w:t>
      </w:r>
    </w:p>
    <w:p>
      <w:r>
        <w:drawing>
          <wp:inline xmlns:a="http://schemas.openxmlformats.org/drawingml/2006/main" xmlns:pic="http://schemas.openxmlformats.org/drawingml/2006/picture">
            <wp:extent cx="5303520" cy="3933081"/>
            <wp:docPr id="1" name="Picture 1"/>
            <wp:cNvGraphicFramePr>
              <a:graphicFrameLocks noChangeAspect="1"/>
            </wp:cNvGraphicFramePr>
            <a:graphic>
              <a:graphicData uri="http://schemas.openxmlformats.org/drawingml/2006/picture">
                <pic:pic>
                  <pic:nvPicPr>
                    <pic:cNvPr id="0" name="fig1_1_synapse_overview.png"/>
                    <pic:cNvPicPr/>
                  </pic:nvPicPr>
                  <pic:blipFill>
                    <a:blip r:embed="rId9"/>
                    <a:stretch>
                      <a:fillRect/>
                    </a:stretch>
                  </pic:blipFill>
                  <pic:spPr>
                    <a:xfrm>
                      <a:off x="0" y="0"/>
                      <a:ext cx="5303520" cy="3933081"/>
                    </a:xfrm>
                    <a:prstGeom prst="rect"/>
                  </pic:spPr>
                </pic:pic>
              </a:graphicData>
            </a:graphic>
          </wp:inline>
        </w:drawing>
      </w:r>
    </w:p>
    <w:p>
      <w:pPr>
        <w:spacing w:after="120" w:line="276" w:lineRule="auto"/>
        <w:jc w:val="center"/>
      </w:pPr>
      <w:r>
        <w:rPr>
          <w:rFonts w:ascii="Times New Roman" w:hAnsi="Times New Roman"/>
          <w:b/>
          <w:i w:val="0"/>
          <w:sz w:val="21"/>
        </w:rPr>
        <w:t>Figure 1.1: Synapse BuildOS Platform Overview</w:t>
      </w:r>
    </w:p>
    <w:p>
      <w:pPr>
        <w:spacing w:before="200" w:after="80"/>
        <w:jc w:val="left"/>
      </w:pPr>
      <w:r>
        <w:rPr>
          <w:rFonts w:ascii="Times New Roman" w:hAnsi="Times New Roman"/>
          <w:b/>
          <w:sz w:val="24"/>
        </w:rPr>
        <w:t>1.2 MOTIVATION</w:t>
      </w:r>
    </w:p>
    <w:p>
      <w:pPr>
        <w:spacing w:after="120" w:line="276" w:lineRule="auto"/>
        <w:jc w:val="both"/>
      </w:pPr>
      <w:r>
        <w:rPr>
          <w:rFonts w:ascii="Times New Roman" w:hAnsi="Times New Roman"/>
          <w:b w:val="0"/>
          <w:i w:val="0"/>
          <w:sz w:val="22"/>
        </w:rPr>
        <w:t>Many homeowners undertake construction without accessible architectural and legal guidance. Commercial CAD tools have steep learning curves and high costs, while consumer floor-plan tools lack statutory bylaw checks and regional rate schedules.</w:t>
      </w:r>
    </w:p>
    <w:p>
      <w:pPr>
        <w:spacing w:after="120" w:line="276" w:lineRule="auto"/>
        <w:jc w:val="both"/>
      </w:pPr>
      <w:r>
        <w:rPr>
          <w:rFonts w:ascii="Times New Roman" w:hAnsi="Times New Roman"/>
          <w:b w:val="0"/>
          <w:i w:val="0"/>
          <w:sz w:val="22"/>
        </w:rPr>
        <w:t>Key motivation includes:</w:t>
      </w:r>
    </w:p>
    <w:p>
      <w:pPr>
        <w:spacing w:after="120" w:line="276" w:lineRule="auto"/>
        <w:jc w:val="both"/>
      </w:pPr>
      <w:r>
        <w:rPr>
          <w:rFonts w:ascii="Times New Roman" w:hAnsi="Times New Roman"/>
          <w:b w:val="0"/>
          <w:i w:val="0"/>
          <w:sz w:val="22"/>
        </w:rPr>
        <w:t>• Eliminating the disconnect between architectural design and cost estimation.</w:t>
      </w:r>
    </w:p>
    <w:p>
      <w:pPr>
        <w:spacing w:after="120" w:line="276" w:lineRule="auto"/>
        <w:jc w:val="both"/>
      </w:pPr>
      <w:r>
        <w:rPr>
          <w:rFonts w:ascii="Times New Roman" w:hAnsi="Times New Roman"/>
          <w:b w:val="0"/>
          <w:i w:val="0"/>
          <w:sz w:val="22"/>
        </w:rPr>
        <w:t>• Preventing municipal building plan rejections by enforcing TNCDBR 2019 rules in real time.</w:t>
      </w:r>
    </w:p>
    <w:p>
      <w:pPr>
        <w:spacing w:after="120" w:line="276" w:lineRule="auto"/>
        <w:jc w:val="both"/>
      </w:pPr>
      <w:r>
        <w:rPr>
          <w:rFonts w:ascii="Times New Roman" w:hAnsi="Times New Roman"/>
          <w:b w:val="0"/>
          <w:i w:val="0"/>
          <w:sz w:val="22"/>
        </w:rPr>
        <w:t>• Providing deterministic, auditable cost estimation based on published Tamil Nadu PWD rates.</w:t>
      </w:r>
    </w:p>
    <w:p>
      <w:pPr>
        <w:spacing w:after="120" w:line="276" w:lineRule="auto"/>
        <w:jc w:val="both"/>
      </w:pPr>
      <w:r>
        <w:rPr>
          <w:rFonts w:ascii="Times New Roman" w:hAnsi="Times New Roman"/>
          <w:b w:val="0"/>
          <w:i w:val="0"/>
          <w:sz w:val="22"/>
        </w:rPr>
        <w:t>• Supporting natural language design modifications through multi-lingual AI prompts.</w:t>
      </w:r>
    </w:p>
    <w:p>
      <w:pPr>
        <w:spacing w:after="120" w:line="276" w:lineRule="auto"/>
        <w:jc w:val="both"/>
      </w:pPr>
      <w:r>
        <w:rPr>
          <w:rFonts w:ascii="Times New Roman" w:hAnsi="Times New Roman"/>
          <w:b w:val="0"/>
          <w:i w:val="0"/>
          <w:sz w:val="22"/>
        </w:rPr>
        <w:t>• Offering a zero-install, browser-based CAD and 3D walkthrough experience.</w:t>
      </w:r>
    </w:p>
    <w:p>
      <w:pPr>
        <w:spacing w:before="200" w:after="80"/>
        <w:jc w:val="left"/>
      </w:pPr>
      <w:r>
        <w:rPr>
          <w:rFonts w:ascii="Times New Roman" w:hAnsi="Times New Roman"/>
          <w:b/>
          <w:sz w:val="24"/>
        </w:rPr>
        <w:t>1.3 OBJECTIVE</w:t>
      </w:r>
    </w:p>
    <w:p>
      <w:pPr>
        <w:spacing w:after="120" w:line="276" w:lineRule="auto"/>
        <w:jc w:val="both"/>
      </w:pPr>
      <w:r>
        <w:rPr>
          <w:rFonts w:ascii="Times New Roman" w:hAnsi="Times New Roman"/>
          <w:b w:val="0"/>
          <w:i w:val="0"/>
          <w:sz w:val="22"/>
        </w:rPr>
        <w:t>The primary objectives of the project are:</w:t>
      </w:r>
    </w:p>
    <w:p>
      <w:pPr>
        <w:spacing w:after="120" w:line="276" w:lineRule="auto"/>
        <w:jc w:val="both"/>
      </w:pPr>
      <w:r>
        <w:rPr>
          <w:rFonts w:ascii="Times New Roman" w:hAnsi="Times New Roman"/>
          <w:b w:val="0"/>
          <w:i w:val="0"/>
          <w:sz w:val="22"/>
        </w:rPr>
        <w:t>1. To establish a unified geometric data model where 2D SVG rectangles drive all spatial, structural, and cost metrics.</w:t>
      </w:r>
    </w:p>
    <w:p>
      <w:pPr>
        <w:spacing w:after="120" w:line="276" w:lineRule="auto"/>
        <w:jc w:val="both"/>
      </w:pPr>
      <w:r>
        <w:rPr>
          <w:rFonts w:ascii="Times New Roman" w:hAnsi="Times New Roman"/>
          <w:b w:val="0"/>
          <w:i w:val="0"/>
          <w:sz w:val="22"/>
        </w:rPr>
        <w:t>2. To develop an automated statutory compliance engine that validates residential designs against TNCDBR 2019.</w:t>
      </w:r>
    </w:p>
    <w:p>
      <w:pPr>
        <w:spacing w:after="120" w:line="276" w:lineRule="auto"/>
        <w:jc w:val="both"/>
      </w:pPr>
      <w:r>
        <w:rPr>
          <w:rFonts w:ascii="Times New Roman" w:hAnsi="Times New Roman"/>
          <w:b w:val="0"/>
          <w:i w:val="0"/>
          <w:sz w:val="22"/>
        </w:rPr>
        <w:t>3. To implement a deterministic quantity takeoff and cost estimation engine based on Tamil Nadu PWD Plinth Area Rates (2025–26).</w:t>
      </w:r>
    </w:p>
    <w:p>
      <w:pPr>
        <w:spacing w:after="120" w:line="276" w:lineRule="auto"/>
        <w:jc w:val="both"/>
      </w:pPr>
      <w:r>
        <w:rPr>
          <w:rFonts w:ascii="Times New Roman" w:hAnsi="Times New Roman"/>
          <w:b w:val="0"/>
          <w:i w:val="0"/>
          <w:sz w:val="22"/>
        </w:rPr>
        <w:t>4. To generate real-time 3D parametric massing models and first-person walkthroughs using Three.js.</w:t>
      </w:r>
    </w:p>
    <w:p>
      <w:pPr>
        <w:spacing w:after="120" w:line="276" w:lineRule="auto"/>
        <w:jc w:val="both"/>
      </w:pPr>
      <w:r>
        <w:rPr>
          <w:rFonts w:ascii="Times New Roman" w:hAnsi="Times New Roman"/>
          <w:b w:val="0"/>
          <w:i w:val="0"/>
          <w:sz w:val="22"/>
        </w:rPr>
        <w:t>5. To integrate a multi-lingual LLM copilot (Cortex AI) capable of translating client requests into valid geometric adjustments.</w:t>
      </w:r>
    </w:p>
    <w:p>
      <w:pPr>
        <w:spacing w:after="120" w:line="276" w:lineRule="auto"/>
        <w:jc w:val="both"/>
      </w:pPr>
      <w:r>
        <w:rPr>
          <w:rFonts w:ascii="Times New Roman" w:hAnsi="Times New Roman"/>
          <w:b w:val="0"/>
          <w:i w:val="0"/>
          <w:sz w:val="22"/>
        </w:rPr>
        <w:t>6. To compute a Construction Readiness Score (0–100) and export professional CAD/BIM assets (IFC4, DXF, OBJ, CSV).</w:t>
      </w:r>
    </w:p>
    <w:p>
      <w:pPr>
        <w:spacing w:before="200" w:after="80"/>
        <w:jc w:val="left"/>
      </w:pPr>
      <w:r>
        <w:rPr>
          <w:rFonts w:ascii="Times New Roman" w:hAnsi="Times New Roman"/>
          <w:b/>
          <w:sz w:val="24"/>
        </w:rPr>
        <w:t>1.4 SCOPE</w:t>
      </w:r>
    </w:p>
    <w:p>
      <w:pPr>
        <w:spacing w:after="120" w:line="276" w:lineRule="auto"/>
        <w:jc w:val="both"/>
      </w:pPr>
      <w:r>
        <w:rPr>
          <w:rFonts w:ascii="Times New Roman" w:hAnsi="Times New Roman"/>
          <w:b w:val="0"/>
          <w:i w:val="0"/>
          <w:sz w:val="22"/>
        </w:rPr>
        <w:t>The scope includes:</w:t>
      </w:r>
    </w:p>
    <w:p>
      <w:pPr>
        <w:spacing w:after="120" w:line="276" w:lineRule="auto"/>
        <w:jc w:val="both"/>
      </w:pPr>
      <w:r>
        <w:rPr>
          <w:rFonts w:ascii="Times New Roman" w:hAnsi="Times New Roman"/>
          <w:b w:val="0"/>
          <w:i w:val="0"/>
          <w:sz w:val="22"/>
        </w:rPr>
        <w:t>• Develops an AI-based residential building intelligence platform.</w:t>
      </w:r>
    </w:p>
    <w:p>
      <w:pPr>
        <w:spacing w:after="120" w:line="276" w:lineRule="auto"/>
        <w:jc w:val="both"/>
      </w:pPr>
      <w:r>
        <w:rPr>
          <w:rFonts w:ascii="Times New Roman" w:hAnsi="Times New Roman"/>
          <w:b w:val="0"/>
          <w:i w:val="0"/>
          <w:sz w:val="22"/>
        </w:rPr>
        <w:t>• Supports residential villas, bungalows, and multi-family homes up to Ground + 2 floors.</w:t>
      </w:r>
    </w:p>
    <w:p>
      <w:pPr>
        <w:spacing w:after="120" w:line="276" w:lineRule="auto"/>
        <w:jc w:val="both"/>
      </w:pPr>
      <w:r>
        <w:rPr>
          <w:rFonts w:ascii="Times New Roman" w:hAnsi="Times New Roman"/>
          <w:b w:val="0"/>
          <w:i w:val="0"/>
          <w:sz w:val="22"/>
        </w:rPr>
        <w:t>• Ingests briefs via scanned documents, PDFs (using OCR), and freeform text.</w:t>
      </w:r>
    </w:p>
    <w:p>
      <w:pPr>
        <w:spacing w:after="120" w:line="276" w:lineRule="auto"/>
        <w:jc w:val="both"/>
      </w:pPr>
      <w:r>
        <w:rPr>
          <w:rFonts w:ascii="Times New Roman" w:hAnsi="Times New Roman"/>
          <w:b w:val="0"/>
          <w:i w:val="0"/>
          <w:sz w:val="22"/>
        </w:rPr>
        <w:t>• Renders interactive 2D floor plans with live setback boundaries and collision detection.</w:t>
      </w:r>
    </w:p>
    <w:p>
      <w:pPr>
        <w:spacing w:after="120" w:line="276" w:lineRule="auto"/>
        <w:jc w:val="both"/>
      </w:pPr>
      <w:r>
        <w:rPr>
          <w:rFonts w:ascii="Times New Roman" w:hAnsi="Times New Roman"/>
          <w:b w:val="0"/>
          <w:i w:val="0"/>
          <w:sz w:val="22"/>
        </w:rPr>
        <w:t>• Renders 3D spatial walkthroughs with procedural materials and sun-path lighting.</w:t>
      </w:r>
    </w:p>
    <w:p>
      <w:pPr>
        <w:spacing w:before="200" w:after="80"/>
        <w:jc w:val="left"/>
      </w:pPr>
      <w:r>
        <w:rPr>
          <w:rFonts w:ascii="Times New Roman" w:hAnsi="Times New Roman"/>
          <w:b/>
          <w:sz w:val="24"/>
        </w:rPr>
        <w:t>1.5 SIGNIFICANCE OF THE STUDY</w:t>
      </w:r>
    </w:p>
    <w:p>
      <w:pPr>
        <w:spacing w:after="120" w:line="276" w:lineRule="auto"/>
        <w:jc w:val="both"/>
      </w:pPr>
      <w:r>
        <w:rPr>
          <w:rFonts w:ascii="Times New Roman" w:hAnsi="Times New Roman"/>
          <w:b w:val="0"/>
          <w:i w:val="0"/>
          <w:sz w:val="22"/>
        </w:rPr>
        <w:t>• Democratizes architectural intelligence for homeowners and small builders.</w:t>
      </w:r>
    </w:p>
    <w:p>
      <w:pPr>
        <w:spacing w:after="120" w:line="276" w:lineRule="auto"/>
        <w:jc w:val="both"/>
      </w:pPr>
      <w:r>
        <w:rPr>
          <w:rFonts w:ascii="Times New Roman" w:hAnsi="Times New Roman"/>
          <w:b w:val="0"/>
          <w:i w:val="0"/>
          <w:sz w:val="22"/>
        </w:rPr>
        <w:t>• Eliminates post-tender cost escalation by synchronizing geometry with PWD pricing.</w:t>
      </w:r>
    </w:p>
    <w:p>
      <w:pPr>
        <w:spacing w:after="120" w:line="276" w:lineRule="auto"/>
        <w:jc w:val="both"/>
      </w:pPr>
      <w:r>
        <w:rPr>
          <w:rFonts w:ascii="Times New Roman" w:hAnsi="Times New Roman"/>
          <w:b w:val="0"/>
          <w:i w:val="0"/>
          <w:sz w:val="22"/>
        </w:rPr>
        <w:t>• Protects against municipal rejections and structural demolition penalties.</w:t>
      </w:r>
    </w:p>
    <w:p>
      <w:pPr>
        <w:spacing w:after="120" w:line="276" w:lineRule="auto"/>
        <w:jc w:val="both"/>
      </w:pPr>
      <w:r>
        <w:rPr>
          <w:rFonts w:ascii="Times New Roman" w:hAnsi="Times New Roman"/>
          <w:b w:val="0"/>
          <w:i w:val="0"/>
          <w:sz w:val="22"/>
        </w:rPr>
        <w:t>• Facilitates stakeholder consensus between clients, architects, and contractors.</w:t>
      </w:r>
    </w:p>
    <w:p>
      <w:r>
        <w:br w:type="page"/>
      </w:r>
    </w:p>
    <w:p>
      <w:pPr>
        <w:spacing w:before="280" w:after="240"/>
        <w:jc w:val="center"/>
      </w:pPr>
      <w:r>
        <w:rPr>
          <w:rFonts w:ascii="Times New Roman" w:hAnsi="Times New Roman"/>
          <w:b/>
          <w:sz w:val="28"/>
        </w:rPr>
        <w:t>CHAPTER 2</w:t>
        <w:br/>
        <w:t>LITERATURE SURVEY</w:t>
      </w:r>
    </w:p>
    <w:p>
      <w:pPr>
        <w:spacing w:before="200" w:after="80"/>
        <w:jc w:val="left"/>
      </w:pPr>
      <w:r>
        <w:rPr>
          <w:rFonts w:ascii="Times New Roman" w:hAnsi="Times New Roman"/>
          <w:b/>
          <w:sz w:val="24"/>
        </w:rPr>
        <w:t>2.1 EXISTING SYSTEMS AND COMPARATIVE ANALYSIS</w:t>
      </w:r>
    </w:p>
    <w:p>
      <w:pPr>
        <w:spacing w:after="120" w:line="276" w:lineRule="auto"/>
        <w:jc w:val="both"/>
      </w:pPr>
      <w:r>
        <w:rPr>
          <w:rFonts w:ascii="Times New Roman" w:hAnsi="Times New Roman"/>
          <w:b w:val="0"/>
          <w:i w:val="0"/>
          <w:sz w:val="22"/>
        </w:rPr>
        <w:t>Commercial CAD platforms such as Autodesk AutoCAD and Revit provide high-precision drafting for trained professionals but require expensive licensing, high-end hardware, and lack localized Indian municipal bylaws. Consumer web tools like Planner 5D allow non-professionals to create floor plans but remain purely decorative, without structural takeoff or statutory checking. Recent generative AI tools often produce unbuildable plans with hallucinated dimensions.</w:t>
      </w:r>
    </w:p>
    <w:p>
      <w:pPr>
        <w:spacing w:after="120" w:line="276" w:lineRule="auto"/>
        <w:jc w:val="both"/>
      </w:pPr>
      <w:r>
        <w:rPr>
          <w:rFonts w:ascii="Times New Roman" w:hAnsi="Times New Roman"/>
          <w:b w:val="0"/>
          <w:i w:val="0"/>
          <w:sz w:val="22"/>
        </w:rPr>
        <w:t>Table 2.1 summarizes the comparative analysis between existing tools and Synapse BuildOS.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Existing System</w:t>
            </w:r>
          </w:p>
        </w:tc>
        <w:tc>
          <w:tcPr>
            <w:tcW w:type="dxa" w:w="1872"/>
          </w:tcPr>
          <w:p>
            <w:r>
              <w:t>Type</w:t>
            </w:r>
          </w:p>
        </w:tc>
        <w:tc>
          <w:tcPr>
            <w:tcW w:type="dxa" w:w="1872"/>
          </w:tcPr>
          <w:p>
            <w:r>
              <w:t>Key Features</w:t>
            </w:r>
          </w:p>
        </w:tc>
        <w:tc>
          <w:tcPr>
            <w:tcW w:type="dxa" w:w="1872"/>
          </w:tcPr>
          <w:p>
            <w:r>
              <w:t>Limitations</w:t>
            </w:r>
          </w:p>
        </w:tc>
        <w:tc>
          <w:tcPr>
            <w:tcW w:type="dxa" w:w="1872"/>
          </w:tcPr>
          <w:p>
            <w:r>
              <w:t>Remarks</w:t>
            </w:r>
          </w:p>
        </w:tc>
      </w:tr>
      <w:tr>
        <w:tc>
          <w:tcPr>
            <w:tcW w:type="dxa" w:w="1872"/>
          </w:tcPr>
          <w:p>
            <w:r>
              <w:t>AutoCAD / Revit</w:t>
            </w:r>
          </w:p>
        </w:tc>
        <w:tc>
          <w:tcPr>
            <w:tcW w:type="dxa" w:w="1872"/>
          </w:tcPr>
          <w:p>
            <w:r>
              <w:t>Desktop CAD / BIM</w:t>
            </w:r>
          </w:p>
        </w:tc>
        <w:tc>
          <w:tcPr>
            <w:tcW w:type="dxa" w:w="1872"/>
          </w:tcPr>
          <w:p>
            <w:r>
              <w:t>High-precision drafting, 3D modeling</w:t>
            </w:r>
          </w:p>
        </w:tc>
        <w:tc>
          <w:tcPr>
            <w:tcW w:type="dxa" w:w="1872"/>
          </w:tcPr>
          <w:p>
            <w:r>
              <w:t>Steep learning curve, high cost, no Indian bylaws</w:t>
            </w:r>
          </w:p>
        </w:tc>
        <w:tc>
          <w:tcPr>
            <w:tcW w:type="dxa" w:w="1872"/>
          </w:tcPr>
          <w:p>
            <w:r>
              <w:t>Industry standard, not accessible for rapid decisions</w:t>
            </w:r>
          </w:p>
        </w:tc>
      </w:tr>
      <w:tr>
        <w:tc>
          <w:tcPr>
            <w:tcW w:type="dxa" w:w="1872"/>
          </w:tcPr>
          <w:p>
            <w:r>
              <w:t>Planner 5D</w:t>
            </w:r>
          </w:p>
        </w:tc>
        <w:tc>
          <w:tcPr>
            <w:tcW w:type="dxa" w:w="1872"/>
          </w:tcPr>
          <w:p>
            <w:r>
              <w:t>Consumer Web App</w:t>
            </w:r>
          </w:p>
        </w:tc>
        <w:tc>
          <w:tcPr>
            <w:tcW w:type="dxa" w:w="1872"/>
          </w:tcPr>
          <w:p>
            <w:r>
              <w:t>Drag-and-drop layouts, 3D visualization</w:t>
            </w:r>
          </w:p>
        </w:tc>
        <w:tc>
          <w:tcPr>
            <w:tcW w:type="dxa" w:w="1872"/>
          </w:tcPr>
          <w:p>
            <w:r>
              <w:t>Purely visual; no civil costing, no bylaw checks</w:t>
            </w:r>
          </w:p>
        </w:tc>
        <w:tc>
          <w:tcPr>
            <w:tcW w:type="dxa" w:w="1872"/>
          </w:tcPr>
          <w:p>
            <w:r>
              <w:t>Good for decor, inadequate for approvals</w:t>
            </w:r>
          </w:p>
        </w:tc>
      </w:tr>
      <w:tr>
        <w:tc>
          <w:tcPr>
            <w:tcW w:type="dxa" w:w="1872"/>
          </w:tcPr>
          <w:p>
            <w:r>
              <w:t>Finch 3D / Hypar</w:t>
            </w:r>
          </w:p>
        </w:tc>
        <w:tc>
          <w:tcPr>
            <w:tcW w:type="dxa" w:w="1872"/>
          </w:tcPr>
          <w:p>
            <w:r>
              <w:t>Generative BIM</w:t>
            </w:r>
          </w:p>
        </w:tc>
        <w:tc>
          <w:tcPr>
            <w:tcW w:type="dxa" w:w="1872"/>
          </w:tcPr>
          <w:p>
            <w:r>
              <w:t>Algorithmic massing, daylight optimization</w:t>
            </w:r>
          </w:p>
        </w:tc>
        <w:tc>
          <w:tcPr>
            <w:tcW w:type="dxa" w:w="1872"/>
          </w:tcPr>
          <w:p>
            <w:r>
              <w:t>Commercial high-rises; lacks Indian PWD rates</w:t>
            </w:r>
          </w:p>
        </w:tc>
        <w:tc>
          <w:tcPr>
            <w:tcW w:type="dxa" w:w="1872"/>
          </w:tcPr>
          <w:p>
            <w:r>
              <w:t>Advanced, but disconnected from local rules</w:t>
            </w:r>
          </w:p>
        </w:tc>
      </w:tr>
      <w:tr>
        <w:tc>
          <w:tcPr>
            <w:tcW w:type="dxa" w:w="1872"/>
          </w:tcPr>
          <w:p>
            <w:r>
              <w:t>Synapse BuildOS (Ours)</w:t>
            </w:r>
          </w:p>
        </w:tc>
        <w:tc>
          <w:tcPr>
            <w:tcW w:type="dxa" w:w="1872"/>
          </w:tcPr>
          <w:p>
            <w:r>
              <w:t>Building Intelligence OS</w:t>
            </w:r>
          </w:p>
        </w:tc>
        <w:tc>
          <w:tcPr>
            <w:tcW w:type="dxa" w:w="1872"/>
          </w:tcPr>
          <w:p>
            <w:r>
              <w:t>Single source of truth, 2D SVG, 3D Three.js, TNCDBR &amp; PWD</w:t>
            </w:r>
          </w:p>
        </w:tc>
        <w:tc>
          <w:tcPr>
            <w:tcW w:type="dxa" w:w="1872"/>
          </w:tcPr>
          <w:p>
            <w:r>
              <w:t>Focused on residential typologies up to G+2</w:t>
            </w:r>
          </w:p>
        </w:tc>
        <w:tc>
          <w:tcPr>
            <w:tcW w:type="dxa" w:w="1872"/>
          </w:tcPr>
          <w:p>
            <w:r>
              <w:t>Zero-install, deterministic, auditable, and open</w:t>
            </w:r>
          </w:p>
        </w:tc>
      </w:tr>
    </w:tbl>
    <w:p>
      <w:pPr>
        <w:spacing w:before="200" w:after="80"/>
        <w:jc w:val="left"/>
      </w:pPr>
      <w:r>
        <w:rPr>
          <w:rFonts w:ascii="Times New Roman" w:hAnsi="Times New Roman"/>
          <w:b/>
          <w:sz w:val="24"/>
        </w:rPr>
        <w:t>2.2 COMPUTATIONAL GEOMETRY AND GENERATIVE AI IN RESIDENTIAL CAD</w:t>
      </w:r>
    </w:p>
    <w:p>
      <w:pPr>
        <w:spacing w:after="120" w:line="276" w:lineRule="auto"/>
        <w:jc w:val="both"/>
      </w:pPr>
      <w:r>
        <w:rPr>
          <w:rFonts w:ascii="Times New Roman" w:hAnsi="Times New Roman"/>
          <w:b w:val="0"/>
          <w:i w:val="0"/>
          <w:sz w:val="22"/>
        </w:rPr>
        <w:t>Computational geometry allows floor plans to be modeled as planar graphs. Synapse BuildOS implements an Axis-Aligned Bounding Box (AABB) sweep algorithm with a 0.05 ft tolerance to prevent room collisions while permitting shared partition walls. Generative LLMs (Claude Cortex) are constrained through Pydantic schemas, ensuring AI assistance remains buildable.</w:t>
      </w:r>
    </w:p>
    <w:p>
      <w:pPr>
        <w:spacing w:before="200" w:after="80"/>
        <w:jc w:val="left"/>
      </w:pPr>
      <w:r>
        <w:rPr>
          <w:rFonts w:ascii="Times New Roman" w:hAnsi="Times New Roman"/>
          <w:b/>
          <w:sz w:val="24"/>
        </w:rPr>
        <w:t>2.3 AUTOMATED BUILDING BYLAW COMPLIANCE AND PWD ESTIMATION</w:t>
      </w:r>
    </w:p>
    <w:p>
      <w:pPr>
        <w:spacing w:after="120" w:line="276" w:lineRule="auto"/>
        <w:jc w:val="both"/>
      </w:pPr>
      <w:r>
        <w:rPr>
          <w:rFonts w:ascii="Times New Roman" w:hAnsi="Times New Roman"/>
          <w:b w:val="0"/>
          <w:i w:val="0"/>
          <w:sz w:val="22"/>
        </w:rPr>
        <w:t>Synapse BuildOS codifies the Tamil Nadu Combined Development and Building Rules (TNCDBR 2019) into exact mathematical evaluation rules. Every dimensional change re-verifies setbacks, FSI, and plot coverage. Simultaneously, construction costs are evaluated against the published Tamil Nadu PWD Plinth Area Rates (2025–26), ensuring full financial auditability.</w:t>
      </w:r>
    </w:p>
    <w:p>
      <w:pPr>
        <w:spacing w:before="200" w:after="80"/>
        <w:jc w:val="left"/>
      </w:pPr>
      <w:r>
        <w:rPr>
          <w:rFonts w:ascii="Times New Roman" w:hAnsi="Times New Roman"/>
          <w:b/>
          <w:sz w:val="24"/>
        </w:rPr>
        <w:t>2.4 RESEARCH GAP</w:t>
      </w:r>
    </w:p>
    <w:p>
      <w:pPr>
        <w:spacing w:after="120" w:line="276" w:lineRule="auto"/>
        <w:jc w:val="both"/>
      </w:pPr>
      <w:r>
        <w:rPr>
          <w:rFonts w:ascii="Times New Roman" w:hAnsi="Times New Roman"/>
          <w:b w:val="0"/>
          <w:i w:val="0"/>
          <w:sz w:val="22"/>
        </w:rPr>
        <w:t>Existing solutions suffer from technical complexity, fragmented drafting-estimation workflows, absence of regional Indian statutory bylaws, and hallucinated generative models. Synapse BuildOS bridges these gaps through a unified, deterministic, and accessible web operating system.</w:t>
      </w:r>
    </w:p>
    <w:p>
      <w:r>
        <w:br w:type="page"/>
      </w:r>
    </w:p>
    <w:p>
      <w:pPr>
        <w:spacing w:before="280" w:after="240"/>
        <w:jc w:val="center"/>
      </w:pPr>
      <w:r>
        <w:rPr>
          <w:rFonts w:ascii="Times New Roman" w:hAnsi="Times New Roman"/>
          <w:b/>
          <w:sz w:val="28"/>
        </w:rPr>
        <w:t>CHAPTER 3</w:t>
        <w:br/>
        <w:t>SYSTEM DESIGN AND IMPLEMENTATION</w:t>
      </w:r>
    </w:p>
    <w:p>
      <w:pPr>
        <w:spacing w:before="200" w:after="80"/>
        <w:jc w:val="left"/>
      </w:pPr>
      <w:r>
        <w:rPr>
          <w:rFonts w:ascii="Times New Roman" w:hAnsi="Times New Roman"/>
          <w:b/>
          <w:sz w:val="24"/>
        </w:rPr>
        <w:t>3.1 SYSTEM OVERVIEW</w:t>
      </w:r>
    </w:p>
    <w:p>
      <w:pPr>
        <w:spacing w:after="120" w:line="276" w:lineRule="auto"/>
        <w:jc w:val="both"/>
      </w:pPr>
      <w:r>
        <w:rPr>
          <w:rFonts w:ascii="Times New Roman" w:hAnsi="Times New Roman"/>
          <w:b w:val="0"/>
          <w:i w:val="0"/>
          <w:sz w:val="22"/>
        </w:rPr>
        <w:t>Synapse BuildOS is structured around a centralized geometric state engine. It features a dual-surface architecture: a Landing Page &amp; Project Brief Configurator, and a Visual CAD Studio with 2D SVG editing, 3D Three.js walkthroughs, live TNCDBR compliance auditing, and PWD cost takeoff.</w:t>
      </w:r>
    </w:p>
    <w:p>
      <w:pPr>
        <w:spacing w:before="200" w:after="80"/>
        <w:jc w:val="left"/>
      </w:pPr>
      <w:r>
        <w:rPr>
          <w:rFonts w:ascii="Times New Roman" w:hAnsi="Times New Roman"/>
          <w:b/>
          <w:sz w:val="24"/>
        </w:rPr>
        <w:t>3.2 SYSTEM ARCHITECTURE</w:t>
      </w:r>
    </w:p>
    <w:p>
      <w:pPr>
        <w:spacing w:after="120" w:line="276" w:lineRule="auto"/>
        <w:jc w:val="both"/>
      </w:pPr>
      <w:r>
        <w:rPr>
          <w:rFonts w:ascii="Times New Roman" w:hAnsi="Times New Roman"/>
          <w:b w:val="0"/>
          <w:i w:val="0"/>
          <w:sz w:val="22"/>
        </w:rPr>
        <w:t>The system consists of: 1) User Interface Layer (HTML5, SVG, Three.js); 2) Shared Model Engine (web/engine.js); 3) FastAPI Backend Services; 4) Cortex AI Copilot (Claude 3.5); and 5) Database Persistence (SQLite/PostgreSQL).</w:t>
      </w:r>
    </w:p>
    <w:p>
      <w:r>
        <w:drawing>
          <wp:inline xmlns:a="http://schemas.openxmlformats.org/drawingml/2006/main" xmlns:pic="http://schemas.openxmlformats.org/drawingml/2006/picture">
            <wp:extent cx="5303520" cy="3826540"/>
            <wp:docPr id="2" name="Picture 2"/>
            <wp:cNvGraphicFramePr>
              <a:graphicFrameLocks noChangeAspect="1"/>
            </wp:cNvGraphicFramePr>
            <a:graphic>
              <a:graphicData uri="http://schemas.openxmlformats.org/drawingml/2006/picture">
                <pic:pic>
                  <pic:nvPicPr>
                    <pic:cNvPr id="0" name="fig3_1_clean.png"/>
                    <pic:cNvPicPr/>
                  </pic:nvPicPr>
                  <pic:blipFill>
                    <a:blip r:embed="rId10"/>
                    <a:stretch>
                      <a:fillRect/>
                    </a:stretch>
                  </pic:blipFill>
                  <pic:spPr>
                    <a:xfrm>
                      <a:off x="0" y="0"/>
                      <a:ext cx="5303520" cy="3826540"/>
                    </a:xfrm>
                    <a:prstGeom prst="rect"/>
                  </pic:spPr>
                </pic:pic>
              </a:graphicData>
            </a:graphic>
          </wp:inline>
        </w:drawing>
      </w:r>
    </w:p>
    <w:p>
      <w:pPr>
        <w:spacing w:after="120" w:line="276" w:lineRule="auto"/>
        <w:jc w:val="center"/>
      </w:pPr>
      <w:r>
        <w:rPr>
          <w:rFonts w:ascii="Times New Roman" w:hAnsi="Times New Roman"/>
          <w:b/>
          <w:i w:val="0"/>
          <w:sz w:val="21"/>
        </w:rPr>
        <w:t>Figure 3.1: Synapse BuildOS System Architecture</w:t>
      </w:r>
    </w:p>
    <w:p>
      <w:pPr>
        <w:spacing w:before="200" w:after="80"/>
        <w:jc w:val="left"/>
      </w:pPr>
      <w:r>
        <w:rPr>
          <w:rFonts w:ascii="Times New Roman" w:hAnsi="Times New Roman"/>
          <w:b/>
          <w:sz w:val="24"/>
        </w:rPr>
        <w:t>3.3 SYSTEM FLOW</w:t>
      </w:r>
    </w:p>
    <w:p>
      <w:pPr>
        <w:spacing w:after="120" w:line="276" w:lineRule="auto"/>
        <w:jc w:val="both"/>
      </w:pPr>
      <w:r>
        <w:rPr>
          <w:rFonts w:ascii="Times New Roman" w:hAnsi="Times New Roman"/>
          <w:b w:val="0"/>
          <w:i w:val="0"/>
          <w:sz w:val="22"/>
        </w:rPr>
        <w:t>The workflow proceeds across 9 sequential steps: 1) Start Application; 2) Input Client Brief; 3) Select Recommended Plan; 4) Render 2D Plan Geometry; 5) Extrude 3D Spatial Walkthrough; 6) Compute Geometric Takeoff; 7) Evaluate Compliance &amp; PWD Cost; 8) Calculate Construction Readiness Score; and 9) Generate Dossier &amp; Export CAD/BIM.</w:t>
      </w:r>
    </w:p>
    <w:p>
      <w:r>
        <w:drawing>
          <wp:inline xmlns:a="http://schemas.openxmlformats.org/drawingml/2006/main" xmlns:pic="http://schemas.openxmlformats.org/drawingml/2006/picture">
            <wp:extent cx="4114800" cy="3038622"/>
            <wp:docPr id="3" name="Picture 3"/>
            <wp:cNvGraphicFramePr>
              <a:graphicFrameLocks noChangeAspect="1"/>
            </wp:cNvGraphicFramePr>
            <a:graphic>
              <a:graphicData uri="http://schemas.openxmlformats.org/drawingml/2006/picture">
                <pic:pic>
                  <pic:nvPicPr>
                    <pic:cNvPr id="0" name="final_fig3_2_flowchart_clean.png"/>
                    <pic:cNvPicPr/>
                  </pic:nvPicPr>
                  <pic:blipFill>
                    <a:blip r:embed="rId11"/>
                    <a:stretch>
                      <a:fillRect/>
                    </a:stretch>
                  </pic:blipFill>
                  <pic:spPr>
                    <a:xfrm>
                      <a:off x="0" y="0"/>
                      <a:ext cx="4114800" cy="3038622"/>
                    </a:xfrm>
                    <a:prstGeom prst="rect"/>
                  </pic:spPr>
                </pic:pic>
              </a:graphicData>
            </a:graphic>
          </wp:inline>
        </w:drawing>
      </w:r>
    </w:p>
    <w:p>
      <w:pPr>
        <w:spacing w:after="120" w:line="276" w:lineRule="auto"/>
        <w:jc w:val="center"/>
      </w:pPr>
      <w:r>
        <w:rPr>
          <w:rFonts w:ascii="Times New Roman" w:hAnsi="Times New Roman"/>
          <w:b/>
          <w:i w:val="0"/>
          <w:sz w:val="21"/>
        </w:rPr>
        <w:t>Figure 3.2: System Flow Diagram</w:t>
      </w:r>
    </w:p>
    <w:p>
      <w:pPr>
        <w:spacing w:before="200" w:after="80"/>
        <w:jc w:val="left"/>
      </w:pPr>
      <w:r>
        <w:rPr>
          <w:rFonts w:ascii="Times New Roman" w:hAnsi="Times New Roman"/>
          <w:b/>
          <w:sz w:val="24"/>
        </w:rPr>
        <w:t>3.4 DATA FLOW DIAGRAM (DFD)</w:t>
      </w:r>
    </w:p>
    <w:p>
      <w:pPr>
        <w:spacing w:after="120" w:line="276" w:lineRule="auto"/>
        <w:jc w:val="both"/>
      </w:pPr>
      <w:r>
        <w:rPr>
          <w:rFonts w:ascii="Times New Roman" w:hAnsi="Times New Roman"/>
          <w:b w:val="0"/>
          <w:i w:val="0"/>
          <w:sz w:val="22"/>
        </w:rPr>
        <w:t>Level 0 models the external interaction between users and the core engine. Level 1 deconstructs internal data flows between functional processes (1.0 to 6.0) and primary data stores: D1 Project DB, D2 PWD &amp; Bylaw Store, and D3 Plan Library.</w:t>
      </w:r>
    </w:p>
    <w:p>
      <w:r>
        <w:drawing>
          <wp:inline xmlns:a="http://schemas.openxmlformats.org/drawingml/2006/main" xmlns:pic="http://schemas.openxmlformats.org/drawingml/2006/picture">
            <wp:extent cx="5120640" cy="3797457"/>
            <wp:docPr id="4" name="Picture 4"/>
            <wp:cNvGraphicFramePr>
              <a:graphicFrameLocks noChangeAspect="1"/>
            </wp:cNvGraphicFramePr>
            <a:graphic>
              <a:graphicData uri="http://schemas.openxmlformats.org/drawingml/2006/picture">
                <pic:pic>
                  <pic:nvPicPr>
                    <pic:cNvPr id="0" name="fig3_3_synapse_dfd.png"/>
                    <pic:cNvPicPr/>
                  </pic:nvPicPr>
                  <pic:blipFill>
                    <a:blip r:embed="rId12"/>
                    <a:stretch>
                      <a:fillRect/>
                    </a:stretch>
                  </pic:blipFill>
                  <pic:spPr>
                    <a:xfrm>
                      <a:off x="0" y="0"/>
                      <a:ext cx="5120640" cy="3797457"/>
                    </a:xfrm>
                    <a:prstGeom prst="rect"/>
                  </pic:spPr>
                </pic:pic>
              </a:graphicData>
            </a:graphic>
          </wp:inline>
        </w:drawing>
      </w:r>
    </w:p>
    <w:p>
      <w:pPr>
        <w:spacing w:after="120" w:line="276" w:lineRule="auto"/>
        <w:jc w:val="center"/>
      </w:pPr>
      <w:r>
        <w:rPr>
          <w:rFonts w:ascii="Times New Roman" w:hAnsi="Times New Roman"/>
          <w:b/>
          <w:i w:val="0"/>
          <w:sz w:val="21"/>
        </w:rPr>
        <w:t>Figure 3.3: Data Flow Diagram (Level 0 &amp; Level 1)</w:t>
      </w:r>
    </w:p>
    <w:p>
      <w:pPr>
        <w:spacing w:before="200" w:after="80"/>
        <w:jc w:val="left"/>
      </w:pPr>
      <w:r>
        <w:rPr>
          <w:rFonts w:ascii="Times New Roman" w:hAnsi="Times New Roman"/>
          <w:b/>
          <w:sz w:val="24"/>
        </w:rPr>
        <w:t>3.4.1 TOOLS AND TECHNOLOGIES USED</w:t>
      </w:r>
    </w:p>
    <w:tbl>
      <w:tblPr>
        <w:tblW w:type="auto" w:w="0"/>
        <w:jc w:val="center"/>
        <w:tblLook w:firstColumn="1" w:firstRow="1" w:lastColumn="0" w:lastRow="0" w:noHBand="0" w:noVBand="1" w:val="04A0"/>
      </w:tblPr>
      <w:tblGrid>
        <w:gridCol w:w="3120"/>
        <w:gridCol w:w="3120"/>
        <w:gridCol w:w="3120"/>
      </w:tblGrid>
      <w:tr>
        <w:tc>
          <w:tcPr>
            <w:tcW w:type="dxa" w:w="3120"/>
          </w:tcPr>
          <w:p>
            <w:r>
              <w:t>Component</w:t>
            </w:r>
          </w:p>
        </w:tc>
        <w:tc>
          <w:tcPr>
            <w:tcW w:type="dxa" w:w="3120"/>
          </w:tcPr>
          <w:p>
            <w:r>
              <w:t>Technology Used</w:t>
            </w:r>
          </w:p>
        </w:tc>
        <w:tc>
          <w:tcPr>
            <w:tcW w:type="dxa" w:w="3120"/>
          </w:tcPr>
          <w:p>
            <w:r>
              <w:t>Description</w:t>
            </w:r>
          </w:p>
        </w:tc>
      </w:tr>
      <w:tr>
        <w:tc>
          <w:tcPr>
            <w:tcW w:type="dxa" w:w="3120"/>
          </w:tcPr>
          <w:p>
            <w:r>
              <w:t>Front-end</w:t>
            </w:r>
          </w:p>
        </w:tc>
        <w:tc>
          <w:tcPr>
            <w:tcW w:type="dxa" w:w="3120"/>
          </w:tcPr>
          <w:p>
            <w:r>
              <w:t>HTML5, CSS3, SVG, JavaScript/TypeScript</w:t>
            </w:r>
          </w:p>
        </w:tc>
        <w:tc>
          <w:tcPr>
            <w:tcW w:type="dxa" w:w="3120"/>
          </w:tcPr>
          <w:p>
            <w:r>
              <w:t>Creates interactive canvas editor and responsive UI</w:t>
            </w:r>
          </w:p>
        </w:tc>
      </w:tr>
      <w:tr>
        <w:tc>
          <w:tcPr>
            <w:tcW w:type="dxa" w:w="3120"/>
          </w:tcPr>
          <w:p>
            <w:r>
              <w:t>3D Graphics</w:t>
            </w:r>
          </w:p>
        </w:tc>
        <w:tc>
          <w:tcPr>
            <w:tcW w:type="dxa" w:w="3120"/>
          </w:tcPr>
          <w:p>
            <w:r>
              <w:t>Three.js r160, WebGL</w:t>
            </w:r>
          </w:p>
        </w:tc>
        <w:tc>
          <w:tcPr>
            <w:tcW w:type="dxa" w:w="3120"/>
          </w:tcPr>
          <w:p>
            <w:r>
              <w:t>Renders procedural massing, walkthroughs, and sun lighting</w:t>
            </w:r>
          </w:p>
        </w:tc>
      </w:tr>
      <w:tr>
        <w:tc>
          <w:tcPr>
            <w:tcW w:type="dxa" w:w="3120"/>
          </w:tcPr>
          <w:p>
            <w:r>
              <w:t>OCR Engine</w:t>
            </w:r>
          </w:p>
        </w:tc>
        <w:tc>
          <w:tcPr>
            <w:tcW w:type="dxa" w:w="3120"/>
          </w:tcPr>
          <w:p>
            <w:r>
              <w:t>Tesseract.js, PDF.js</w:t>
            </w:r>
          </w:p>
        </w:tc>
        <w:tc>
          <w:tcPr>
            <w:tcW w:type="dxa" w:w="3120"/>
          </w:tcPr>
          <w:p>
            <w:r>
              <w:t>Parses client briefs and dimensions from scanned documents</w:t>
            </w:r>
          </w:p>
        </w:tc>
      </w:tr>
      <w:tr>
        <w:tc>
          <w:tcPr>
            <w:tcW w:type="dxa" w:w="3120"/>
          </w:tcPr>
          <w:p>
            <w:r>
              <w:t>Compliance</w:t>
            </w:r>
          </w:p>
        </w:tc>
        <w:tc>
          <w:tcPr>
            <w:tcW w:type="dxa" w:w="3120"/>
          </w:tcPr>
          <w:p>
            <w:r>
              <w:t>JavaScript / Python</w:t>
            </w:r>
          </w:p>
        </w:tc>
        <w:tc>
          <w:tcPr>
            <w:tcW w:type="dxa" w:w="3120"/>
          </w:tcPr>
          <w:p>
            <w:r>
              <w:t>Evaluates TNCDBR 2019 statutory bylaw rules</w:t>
            </w:r>
          </w:p>
        </w:tc>
      </w:tr>
      <w:tr>
        <w:tc>
          <w:tcPr>
            <w:tcW w:type="dxa" w:w="3120"/>
          </w:tcPr>
          <w:p>
            <w:r>
              <w:t>Cost Engine</w:t>
            </w:r>
          </w:p>
        </w:tc>
        <w:tc>
          <w:tcPr>
            <w:tcW w:type="dxa" w:w="3120"/>
          </w:tcPr>
          <w:p>
            <w:r>
              <w:t>Python / JavaScript</w:t>
            </w:r>
          </w:p>
        </w:tc>
        <w:tc>
          <w:tcPr>
            <w:tcW w:type="dxa" w:w="3120"/>
          </w:tcPr>
          <w:p>
            <w:r>
              <w:t>Calculates line-item civil estimates from TN PWD 2025–26 rates</w:t>
            </w:r>
          </w:p>
        </w:tc>
      </w:tr>
      <w:tr>
        <w:tc>
          <w:tcPr>
            <w:tcW w:type="dxa" w:w="3120"/>
          </w:tcPr>
          <w:p>
            <w:r>
              <w:t>Backend API</w:t>
            </w:r>
          </w:p>
        </w:tc>
        <w:tc>
          <w:tcPr>
            <w:tcW w:type="dxa" w:w="3120"/>
          </w:tcPr>
          <w:p>
            <w:r>
              <w:t>FastAPI, Python 3.11+</w:t>
            </w:r>
          </w:p>
        </w:tc>
        <w:tc>
          <w:tcPr>
            <w:tcW w:type="dxa" w:w="3120"/>
          </w:tcPr>
          <w:p>
            <w:r>
              <w:t>High-performance REST API for analysis and exports</w:t>
            </w:r>
          </w:p>
        </w:tc>
      </w:tr>
      <w:tr>
        <w:tc>
          <w:tcPr>
            <w:tcW w:type="dxa" w:w="3120"/>
          </w:tcPr>
          <w:p>
            <w:r>
              <w:t>Database</w:t>
            </w:r>
          </w:p>
        </w:tc>
        <w:tc>
          <w:tcPr>
            <w:tcW w:type="dxa" w:w="3120"/>
          </w:tcPr>
          <w:p>
            <w:r>
              <w:t>SQLite / PostgreSQL, SQLAlchemy 2.0</w:t>
            </w:r>
          </w:p>
        </w:tc>
        <w:tc>
          <w:tcPr>
            <w:tcW w:type="dxa" w:w="3120"/>
          </w:tcPr>
          <w:p>
            <w:r>
              <w:t>Stores live projects, version snapshots, and rate cards</w:t>
            </w:r>
          </w:p>
        </w:tc>
      </w:tr>
      <w:tr>
        <w:tc>
          <w:tcPr>
            <w:tcW w:type="dxa" w:w="3120"/>
          </w:tcPr>
          <w:p>
            <w:r>
              <w:t>AI Subsystem</w:t>
            </w:r>
          </w:p>
        </w:tc>
        <w:tc>
          <w:tcPr>
            <w:tcW w:type="dxa" w:w="3120"/>
          </w:tcPr>
          <w:p>
            <w:r>
              <w:t>Anthropic Claude 3.5 Sonnet (Cortex)</w:t>
            </w:r>
          </w:p>
        </w:tc>
        <w:tc>
          <w:tcPr>
            <w:tcW w:type="dxa" w:w="3120"/>
          </w:tcPr>
          <w:p>
            <w:r>
              <w:t>Translates conversational prompts into validated mutations</w:t>
            </w:r>
          </w:p>
        </w:tc>
      </w:tr>
      <w:tr>
        <w:tc>
          <w:tcPr>
            <w:tcW w:type="dxa" w:w="3120"/>
          </w:tcPr>
          <w:p>
            <w:r>
              <w:t>CAD/BIM Export</w:t>
            </w:r>
          </w:p>
        </w:tc>
        <w:tc>
          <w:tcPr>
            <w:tcW w:type="dxa" w:w="3120"/>
          </w:tcPr>
          <w:p>
            <w:r>
              <w:t>IfcOpenShell, DXF Generator</w:t>
            </w:r>
          </w:p>
        </w:tc>
        <w:tc>
          <w:tcPr>
            <w:tcW w:type="dxa" w:w="3120"/>
          </w:tcPr>
          <w:p>
            <w:r>
              <w:t>Generates native IFC4 and AutoCAD DXF drawings</w:t>
            </w:r>
          </w:p>
        </w:tc>
      </w:tr>
    </w:tbl>
    <w:p>
      <w:pPr>
        <w:spacing w:before="200" w:after="80"/>
        <w:jc w:val="left"/>
      </w:pPr>
      <w:r>
        <w:rPr>
          <w:rFonts w:ascii="Times New Roman" w:hAnsi="Times New Roman"/>
          <w:b/>
          <w:sz w:val="24"/>
        </w:rPr>
        <w:t>3.5 USE CASE DIAGRAM</w:t>
      </w:r>
    </w:p>
    <w:p>
      <w:pPr>
        <w:spacing w:after="120" w:line="276" w:lineRule="auto"/>
        <w:jc w:val="both"/>
      </w:pPr>
      <w:r>
        <w:rPr>
          <w:rFonts w:ascii="Times New Roman" w:hAnsi="Times New Roman"/>
          <w:b w:val="0"/>
          <w:i w:val="0"/>
          <w:sz w:val="22"/>
        </w:rPr>
        <w:t>Defines role-based capabilities for Homeowners (brief intake, 3D exploration), Architects (geometry editing, bylaw audits), and Contractors (BOQ estimation, quantity audits).</w:t>
      </w:r>
    </w:p>
    <w:p>
      <w:r>
        <w:drawing>
          <wp:inline xmlns:a="http://schemas.openxmlformats.org/drawingml/2006/main" xmlns:pic="http://schemas.openxmlformats.org/drawingml/2006/picture">
            <wp:extent cx="5029200" cy="3729646"/>
            <wp:docPr id="5" name="Picture 5"/>
            <wp:cNvGraphicFramePr>
              <a:graphicFrameLocks noChangeAspect="1"/>
            </wp:cNvGraphicFramePr>
            <a:graphic>
              <a:graphicData uri="http://schemas.openxmlformats.org/drawingml/2006/picture">
                <pic:pic>
                  <pic:nvPicPr>
                    <pic:cNvPr id="0" name="final_fig3_5_usecase_clean.png"/>
                    <pic:cNvPicPr/>
                  </pic:nvPicPr>
                  <pic:blipFill>
                    <a:blip r:embed="rId13"/>
                    <a:stretch>
                      <a:fillRect/>
                    </a:stretch>
                  </pic:blipFill>
                  <pic:spPr>
                    <a:xfrm>
                      <a:off x="0" y="0"/>
                      <a:ext cx="5029200" cy="3729646"/>
                    </a:xfrm>
                    <a:prstGeom prst="rect"/>
                  </pic:spPr>
                </pic:pic>
              </a:graphicData>
            </a:graphic>
          </wp:inline>
        </w:drawing>
      </w:r>
    </w:p>
    <w:p>
      <w:pPr>
        <w:spacing w:after="120" w:line="276" w:lineRule="auto"/>
        <w:jc w:val="center"/>
      </w:pPr>
      <w:r>
        <w:rPr>
          <w:rFonts w:ascii="Times New Roman" w:hAnsi="Times New Roman"/>
          <w:b/>
          <w:i w:val="0"/>
          <w:sz w:val="21"/>
        </w:rPr>
        <w:t>Figure 3.5: Use Case Diagram</w:t>
      </w:r>
    </w:p>
    <w:p>
      <w:pPr>
        <w:spacing w:before="200" w:after="80"/>
        <w:jc w:val="left"/>
      </w:pPr>
      <w:r>
        <w:rPr>
          <w:rFonts w:ascii="Times New Roman" w:hAnsi="Times New Roman"/>
          <w:b/>
          <w:sz w:val="24"/>
        </w:rPr>
        <w:t>3.6 SYSTEM MODULES DESCRIPTION</w:t>
      </w:r>
    </w:p>
    <w:p>
      <w:pPr>
        <w:spacing w:before="160" w:after="60"/>
        <w:jc w:val="left"/>
      </w:pPr>
      <w:r>
        <w:rPr>
          <w:rFonts w:ascii="Times New Roman" w:hAnsi="Times New Roman"/>
          <w:b/>
          <w:sz w:val="22"/>
        </w:rPr>
        <w:t>3.6.1 Client Brief and Project Ingestion Module</w:t>
      </w:r>
    </w:p>
    <w:p>
      <w:pPr>
        <w:spacing w:after="120" w:line="276" w:lineRule="auto"/>
        <w:jc w:val="both"/>
      </w:pPr>
      <w:r>
        <w:rPr>
          <w:rFonts w:ascii="Times New Roman" w:hAnsi="Times New Roman"/>
          <w:b w:val="0"/>
          <w:i w:val="0"/>
          <w:sz w:val="22"/>
        </w:rPr>
        <w:t>Extracts plot size, budget, and room requirements from documents or speech.</w:t>
      </w:r>
    </w:p>
    <w:p>
      <w:pPr>
        <w:spacing w:before="160" w:after="60"/>
        <w:jc w:val="left"/>
      </w:pPr>
      <w:r>
        <w:rPr>
          <w:rFonts w:ascii="Times New Roman" w:hAnsi="Times New Roman"/>
          <w:b/>
          <w:sz w:val="22"/>
        </w:rPr>
        <w:t>3.6.2 2D Plan Geometry and Space Engine Module</w:t>
      </w:r>
    </w:p>
    <w:p>
      <w:pPr>
        <w:spacing w:after="120" w:line="276" w:lineRule="auto"/>
        <w:jc w:val="both"/>
      </w:pPr>
      <w:r>
        <w:rPr>
          <w:rFonts w:ascii="Times New Roman" w:hAnsi="Times New Roman"/>
          <w:b w:val="0"/>
          <w:i w:val="0"/>
          <w:sz w:val="22"/>
        </w:rPr>
        <w:t>Manages interactive SVG layout in feet with live collision and setback buffers.</w:t>
      </w:r>
    </w:p>
    <w:p>
      <w:pPr>
        <w:spacing w:before="160" w:after="60"/>
        <w:jc w:val="left"/>
      </w:pPr>
      <w:r>
        <w:rPr>
          <w:rFonts w:ascii="Times New Roman" w:hAnsi="Times New Roman"/>
          <w:b/>
          <w:sz w:val="22"/>
        </w:rPr>
        <w:t>3.6.3 3D Spatial Massing and Walkthrough Module</w:t>
      </w:r>
    </w:p>
    <w:p>
      <w:pPr>
        <w:spacing w:after="120" w:line="276" w:lineRule="auto"/>
        <w:jc w:val="both"/>
      </w:pPr>
      <w:r>
        <w:rPr>
          <w:rFonts w:ascii="Times New Roman" w:hAnsi="Times New Roman"/>
          <w:b w:val="0"/>
          <w:i w:val="0"/>
          <w:sz w:val="22"/>
        </w:rPr>
        <w:t>Extrudes 2D rooms into 3D spaces with procedural finishes and first-person walkthroughs.</w:t>
      </w:r>
    </w:p>
    <w:p>
      <w:pPr>
        <w:spacing w:before="160" w:after="60"/>
        <w:jc w:val="left"/>
      </w:pPr>
      <w:r>
        <w:rPr>
          <w:rFonts w:ascii="Times New Roman" w:hAnsi="Times New Roman"/>
          <w:b/>
          <w:sz w:val="22"/>
        </w:rPr>
        <w:t>3.6.4 TNCDBR Compliance Verification Module</w:t>
      </w:r>
    </w:p>
    <w:p>
      <w:pPr>
        <w:spacing w:after="120" w:line="276" w:lineRule="auto"/>
        <w:jc w:val="both"/>
      </w:pPr>
      <w:r>
        <w:rPr>
          <w:rFonts w:ascii="Times New Roman" w:hAnsi="Times New Roman"/>
          <w:b w:val="0"/>
          <w:i w:val="0"/>
          <w:sz w:val="22"/>
        </w:rPr>
        <w:t>Audits setbacks, coverage, FSI, room dimensions, and parking in real time.</w:t>
      </w:r>
    </w:p>
    <w:p>
      <w:pPr>
        <w:spacing w:before="160" w:after="60"/>
        <w:jc w:val="left"/>
      </w:pPr>
      <w:r>
        <w:rPr>
          <w:rFonts w:ascii="Times New Roman" w:hAnsi="Times New Roman"/>
          <w:b/>
          <w:sz w:val="22"/>
        </w:rPr>
        <w:t>3.6.5 PWD Plinth-Area Cost Estimation Module</w:t>
      </w:r>
    </w:p>
    <w:p>
      <w:pPr>
        <w:spacing w:after="120" w:line="276" w:lineRule="auto"/>
        <w:jc w:val="both"/>
      </w:pPr>
      <w:r>
        <w:rPr>
          <w:rFonts w:ascii="Times New Roman" w:hAnsi="Times New Roman"/>
          <w:b w:val="0"/>
          <w:i w:val="0"/>
          <w:sz w:val="22"/>
        </w:rPr>
        <w:t>Calculates structural and architectural costs line by line from official TN PWD rate schedules.</w:t>
      </w:r>
    </w:p>
    <w:p>
      <w:pPr>
        <w:spacing w:before="160" w:after="60"/>
        <w:jc w:val="left"/>
      </w:pPr>
      <w:r>
        <w:rPr>
          <w:rFonts w:ascii="Times New Roman" w:hAnsi="Times New Roman"/>
          <w:b/>
          <w:sz w:val="22"/>
        </w:rPr>
        <w:t>3.6.6 Construction Readiness Scoring &amp; Export Module</w:t>
      </w:r>
    </w:p>
    <w:p>
      <w:pPr>
        <w:spacing w:after="120" w:line="276" w:lineRule="auto"/>
        <w:jc w:val="both"/>
      </w:pPr>
      <w:r>
        <w:rPr>
          <w:rFonts w:ascii="Times New Roman" w:hAnsi="Times New Roman"/>
          <w:b w:val="0"/>
          <w:i w:val="0"/>
          <w:sz w:val="22"/>
        </w:rPr>
        <w:t>Computes 0–100 Readiness Score and exports IFC4, DXF, OBJ, and PDF dossiers.</w:t>
      </w:r>
    </w:p>
    <w:p>
      <w:pPr>
        <w:spacing w:before="200" w:after="80"/>
        <w:jc w:val="left"/>
      </w:pPr>
      <w:r>
        <w:rPr>
          <w:rFonts w:ascii="Times New Roman" w:hAnsi="Times New Roman"/>
          <w:b/>
          <w:sz w:val="24"/>
        </w:rPr>
        <w:t>3.7 IMPLEMENTATION DETAILS</w:t>
      </w:r>
    </w:p>
    <w:p>
      <w:pPr>
        <w:spacing w:after="120" w:line="276" w:lineRule="auto"/>
        <w:jc w:val="both"/>
      </w:pPr>
      <w:r>
        <w:rPr>
          <w:rFonts w:ascii="Times New Roman" w:hAnsi="Times New Roman"/>
          <w:b w:val="0"/>
          <w:i w:val="0"/>
          <w:sz w:val="22"/>
        </w:rPr>
        <w:t>Built-up Area = Σ Area(r)  [for r.type ∉ {parking, balcony}]</w:t>
        <w:br/>
        <w:t>Footprint = Σ Area(r)  [for r.floor == 0]</w:t>
        <w:br/>
        <w:t>Wall Area = Σ Perimeter(r) × 10ft × (1 − 0.12) × 0.5</w:t>
        <w:br/>
        <w:t>FSI = Built-up Area / Plot Area</w:t>
        <w:br/>
        <w:t>Coverage = Footprint / Plot Area</w:t>
      </w:r>
    </w:p>
    <w:p>
      <w:pPr>
        <w:spacing w:before="200" w:after="80"/>
        <w:jc w:val="left"/>
      </w:pPr>
      <w:r>
        <w:rPr>
          <w:rFonts w:ascii="Times New Roman" w:hAnsi="Times New Roman"/>
          <w:b/>
          <w:sz w:val="24"/>
        </w:rPr>
        <w:t>3.8 IMPLEMENTATION PROCESS</w:t>
      </w:r>
    </w:p>
    <w:p>
      <w:pPr>
        <w:spacing w:after="120" w:line="276" w:lineRule="auto"/>
        <w:jc w:val="both"/>
      </w:pPr>
      <w:r>
        <w:rPr>
          <w:rFonts w:ascii="Times New Roman" w:hAnsi="Times New Roman"/>
          <w:b w:val="0"/>
          <w:i w:val="0"/>
          <w:sz w:val="22"/>
        </w:rPr>
        <w:t>1. Requirement Analysis -&gt; 2. System Design -&gt; 3. Development Phase -&gt; 4. Engine Development -&gt; 5. Testing Phase -&gt; 6. Feedback &amp; Enhancement.</w:t>
      </w:r>
    </w:p>
    <w:p>
      <w:pPr>
        <w:spacing w:before="200" w:after="80"/>
        <w:jc w:val="left"/>
      </w:pPr>
      <w:r>
        <w:rPr>
          <w:rFonts w:ascii="Times New Roman" w:hAnsi="Times New Roman"/>
          <w:b/>
          <w:sz w:val="24"/>
        </w:rPr>
        <w:t>3.9 ADVANTAGES OF THE SYSTEM</w:t>
      </w:r>
    </w:p>
    <w:p>
      <w:pPr>
        <w:spacing w:after="120" w:line="276" w:lineRule="auto"/>
        <w:jc w:val="both"/>
      </w:pPr>
      <w:r>
        <w:rPr>
          <w:rFonts w:ascii="Times New Roman" w:hAnsi="Times New Roman"/>
          <w:b w:val="0"/>
          <w:i w:val="0"/>
          <w:sz w:val="22"/>
        </w:rPr>
        <w:t>• Single source of truth across drafting, 3D, costing, and compliance.</w:t>
        <w:br/>
        <w:t>• Real-time TNCDBR bylaw feedback.</w:t>
        <w:br/>
        <w:t>• Zero-install web accessibility.</w:t>
        <w:br/>
        <w:t>• Deterministic, auditable PWD costing.</w:t>
      </w:r>
    </w:p>
    <w:p>
      <w:pPr>
        <w:spacing w:before="200" w:after="80"/>
        <w:jc w:val="left"/>
      </w:pPr>
      <w:r>
        <w:rPr>
          <w:rFonts w:ascii="Times New Roman" w:hAnsi="Times New Roman"/>
          <w:b/>
          <w:sz w:val="24"/>
        </w:rPr>
        <w:t>3.10 CHALLENGES FACED DURING IMPLEMENTATION</w:t>
      </w:r>
    </w:p>
    <w:p>
      <w:pPr>
        <w:spacing w:after="120" w:line="276" w:lineRule="auto"/>
        <w:jc w:val="both"/>
      </w:pPr>
      <w:r>
        <w:rPr>
          <w:rFonts w:ascii="Times New Roman" w:hAnsi="Times New Roman"/>
          <w:b w:val="0"/>
          <w:i w:val="0"/>
          <w:sz w:val="22"/>
        </w:rPr>
        <w:t>• Codifying complex municipal clauses into exact predicates.</w:t>
        <w:br/>
        <w:t>• Real-time 3D wall punching for windows and doors at 60 FPS.</w:t>
        <w:br/>
        <w:t>• Constraining generative AI prompts to avoid hallucinated geometries.</w:t>
      </w:r>
    </w:p>
    <w:p>
      <w:r>
        <w:br w:type="page"/>
      </w:r>
    </w:p>
    <w:p>
      <w:pPr>
        <w:spacing w:before="280" w:after="240"/>
        <w:jc w:val="center"/>
      </w:pPr>
      <w:r>
        <w:rPr>
          <w:rFonts w:ascii="Times New Roman" w:hAnsi="Times New Roman"/>
          <w:b/>
          <w:sz w:val="28"/>
        </w:rPr>
        <w:t>CHAPTER 4</w:t>
        <w:br/>
        <w:t>TESTING AND RESULTS</w:t>
      </w:r>
    </w:p>
    <w:p>
      <w:pPr>
        <w:spacing w:before="200" w:after="80"/>
        <w:jc w:val="left"/>
      </w:pPr>
      <w:r>
        <w:rPr>
          <w:rFonts w:ascii="Times New Roman" w:hAnsi="Times New Roman"/>
          <w:b/>
          <w:sz w:val="24"/>
        </w:rPr>
        <w:t>4.1 INTRODUCTION</w:t>
      </w:r>
    </w:p>
    <w:p>
      <w:pPr>
        <w:spacing w:after="120" w:line="276" w:lineRule="auto"/>
        <w:jc w:val="both"/>
      </w:pPr>
      <w:r>
        <w:rPr>
          <w:rFonts w:ascii="Times New Roman" w:hAnsi="Times New Roman"/>
          <w:b w:val="0"/>
          <w:i w:val="0"/>
          <w:sz w:val="22"/>
        </w:rPr>
        <w:t>Testing evaluated functionality, usability, performance, and calculation accuracy across diverse residential building layouts.</w:t>
      </w:r>
    </w:p>
    <w:p>
      <w:pPr>
        <w:spacing w:before="200" w:after="80"/>
        <w:jc w:val="left"/>
      </w:pPr>
      <w:r>
        <w:rPr>
          <w:rFonts w:ascii="Times New Roman" w:hAnsi="Times New Roman"/>
          <w:b/>
          <w:sz w:val="24"/>
        </w:rPr>
        <w:t>4.2 TYPES OF TESTING</w:t>
      </w:r>
    </w:p>
    <w:p>
      <w:pPr>
        <w:spacing w:after="120" w:line="276" w:lineRule="auto"/>
        <w:jc w:val="both"/>
      </w:pPr>
      <w:r>
        <w:rPr>
          <w:rFonts w:ascii="Times New Roman" w:hAnsi="Times New Roman"/>
          <w:b w:val="0"/>
          <w:i w:val="0"/>
          <w:sz w:val="22"/>
        </w:rPr>
        <w:t>• Functionality Testing: Validated room manipulation, floor switching, and export generation.</w:t>
        <w:br/>
        <w:t>• Usability Testing: Verified intuitive navigation and clarity of readiness scores.</w:t>
        <w:br/>
        <w:t>• Performance Testing: Measured engine recalculation time (&lt;12ms) and WebGL frame rates (60 FPS).</w:t>
        <w:br/>
        <w:t>• Calculation Validation: Compared automated takeoffs against manual blueprints.</w:t>
      </w:r>
    </w:p>
    <w:p>
      <w:pPr>
        <w:spacing w:before="200" w:after="80"/>
        <w:jc w:val="left"/>
      </w:pPr>
      <w:r>
        <w:rPr>
          <w:rFonts w:ascii="Times New Roman" w:hAnsi="Times New Roman"/>
          <w:b/>
          <w:sz w:val="24"/>
        </w:rPr>
        <w:t>4.3 TESTING PROCEDURES</w:t>
      </w:r>
    </w:p>
    <w:p>
      <w:pPr>
        <w:spacing w:after="120" w:line="276" w:lineRule="auto"/>
        <w:jc w:val="both"/>
      </w:pPr>
      <w:r>
        <w:rPr>
          <w:rFonts w:ascii="Times New Roman" w:hAnsi="Times New Roman"/>
          <w:b w:val="0"/>
          <w:i w:val="0"/>
          <w:sz w:val="22"/>
        </w:rPr>
        <w:t>Table 4.1 details test cases and validation outcomes.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Test Case</w:t>
            </w:r>
          </w:p>
        </w:tc>
        <w:tc>
          <w:tcPr>
            <w:tcW w:type="dxa" w:w="2340"/>
          </w:tcPr>
          <w:p>
            <w:r>
              <w:t>Input Parameters</w:t>
            </w:r>
          </w:p>
        </w:tc>
        <w:tc>
          <w:tcPr>
            <w:tcW w:type="dxa" w:w="2340"/>
          </w:tcPr>
          <w:p>
            <w:r>
              <w:t>Observed Result</w:t>
            </w:r>
          </w:p>
        </w:tc>
        <w:tc>
          <w:tcPr>
            <w:tcW w:type="dxa" w:w="2340"/>
          </w:tcPr>
          <w:p>
            <w:r>
              <w:t>Status</w:t>
            </w:r>
          </w:p>
        </w:tc>
      </w:tr>
      <w:tr>
        <w:tc>
          <w:tcPr>
            <w:tcW w:type="dxa" w:w="2340"/>
          </w:tcPr>
          <w:p>
            <w:r>
              <w:t>TC-01: Takeoff</w:t>
            </w:r>
          </w:p>
        </w:tc>
        <w:tc>
          <w:tcPr>
            <w:tcW w:type="dxa" w:w="2340"/>
          </w:tcPr>
          <w:p>
            <w:r>
              <w:t>4 rooms (712 sq ft total)</w:t>
            </w:r>
          </w:p>
        </w:tc>
        <w:tc>
          <w:tcPr>
            <w:tcW w:type="dxa" w:w="2340"/>
          </w:tcPr>
          <w:p>
            <w:r>
              <w:t>Engine computed 712.00 sq ft exactly</w:t>
            </w:r>
          </w:p>
        </w:tc>
        <w:tc>
          <w:tcPr>
            <w:tcW w:type="dxa" w:w="2340"/>
          </w:tcPr>
          <w:p>
            <w:r>
              <w:t>PASS</w:t>
            </w:r>
          </w:p>
        </w:tc>
      </w:tr>
      <w:tr>
        <w:tc>
          <w:tcPr>
            <w:tcW w:type="dxa" w:w="2340"/>
          </w:tcPr>
          <w:p>
            <w:r>
              <w:t>TC-02: Overlap</w:t>
            </w:r>
          </w:p>
        </w:tc>
        <w:tc>
          <w:tcPr>
            <w:tcW w:type="dxa" w:w="2340"/>
          </w:tcPr>
          <w:p>
            <w:r>
              <w:t>2.5 ft room overlap introduced</w:t>
            </w:r>
          </w:p>
        </w:tc>
        <w:tc>
          <w:tcPr>
            <w:tcW w:type="dxa" w:w="2340"/>
          </w:tcPr>
          <w:p>
            <w:r>
              <w:t>AABB collision flagged; red stroke shown</w:t>
            </w:r>
          </w:p>
        </w:tc>
        <w:tc>
          <w:tcPr>
            <w:tcW w:type="dxa" w:w="2340"/>
          </w:tcPr>
          <w:p>
            <w:r>
              <w:t>PASS</w:t>
            </w:r>
          </w:p>
        </w:tc>
      </w:tr>
      <w:tr>
        <w:tc>
          <w:tcPr>
            <w:tcW w:type="dxa" w:w="2340"/>
          </w:tcPr>
          <w:p>
            <w:r>
              <w:t>TC-03: Setback</w:t>
            </w:r>
          </w:p>
        </w:tc>
        <w:tc>
          <w:tcPr>
            <w:tcW w:type="dxa" w:w="2340"/>
          </w:tcPr>
          <w:p>
            <w:r>
              <w:t>3 ft front setback on 60 ft plot</w:t>
            </w:r>
          </w:p>
        </w:tc>
        <w:tc>
          <w:tcPr>
            <w:tcW w:type="dxa" w:w="2340"/>
          </w:tcPr>
          <w:p>
            <w:r>
              <w:t>TNCDBR violation flagged (&lt;5 ft required)</w:t>
            </w:r>
          </w:p>
        </w:tc>
        <w:tc>
          <w:tcPr>
            <w:tcW w:type="dxa" w:w="2340"/>
          </w:tcPr>
          <w:p>
            <w:r>
              <w:t>PASS</w:t>
            </w:r>
          </w:p>
        </w:tc>
      </w:tr>
      <w:tr>
        <w:tc>
          <w:tcPr>
            <w:tcW w:type="dxa" w:w="2340"/>
          </w:tcPr>
          <w:p>
            <w:r>
              <w:t>TC-04: PWD Cost</w:t>
            </w:r>
          </w:p>
        </w:tc>
        <w:tc>
          <w:tcPr>
            <w:tcW w:type="dxa" w:w="2340"/>
          </w:tcPr>
          <w:p>
            <w:r>
              <w:t>1,200 sq ft @ ₹2,150/sq ft + finishes</w:t>
            </w:r>
          </w:p>
        </w:tc>
        <w:tc>
          <w:tcPr>
            <w:tcW w:type="dxa" w:w="2340"/>
          </w:tcPr>
          <w:p>
            <w:r>
              <w:t>Matches manual civil estimate to the rupee</w:t>
            </w:r>
          </w:p>
        </w:tc>
        <w:tc>
          <w:tcPr>
            <w:tcW w:type="dxa" w:w="2340"/>
          </w:tcPr>
          <w:p>
            <w:r>
              <w:t>PASS</w:t>
            </w:r>
          </w:p>
        </w:tc>
      </w:tr>
      <w:tr>
        <w:tc>
          <w:tcPr>
            <w:tcW w:type="dxa" w:w="2340"/>
          </w:tcPr>
          <w:p>
            <w:r>
              <w:t>TC-05: 3D FPS</w:t>
            </w:r>
          </w:p>
        </w:tc>
        <w:tc>
          <w:tcPr>
            <w:tcW w:type="dxa" w:w="2340"/>
          </w:tcPr>
          <w:p>
            <w:r>
              <w:t>10-room 2-storey house in Three.js</w:t>
            </w:r>
          </w:p>
        </w:tc>
        <w:tc>
          <w:tcPr>
            <w:tcW w:type="dxa" w:w="2340"/>
          </w:tcPr>
          <w:p>
            <w:r>
              <w:t>Stable 58–60 FPS across all angles</w:t>
            </w:r>
          </w:p>
        </w:tc>
        <w:tc>
          <w:tcPr>
            <w:tcW w:type="dxa" w:w="2340"/>
          </w:tcPr>
          <w:p>
            <w:r>
              <w:t>PASS</w:t>
            </w:r>
          </w:p>
        </w:tc>
      </w:tr>
    </w:tbl>
    <w:p>
      <w:pPr>
        <w:spacing w:before="200" w:after="80"/>
        <w:jc w:val="left"/>
      </w:pPr>
      <w:r>
        <w:rPr>
          <w:rFonts w:ascii="Times New Roman" w:hAnsi="Times New Roman"/>
          <w:b/>
          <w:sz w:val="24"/>
        </w:rPr>
        <w:t>4.4 RESULTS</w:t>
      </w:r>
    </w:p>
    <w:p>
      <w:r>
        <w:drawing>
          <wp:inline xmlns:a="http://schemas.openxmlformats.org/drawingml/2006/main" xmlns:pic="http://schemas.openxmlformats.org/drawingml/2006/picture">
            <wp:extent cx="4389120" cy="5486400"/>
            <wp:docPr id="6" name="Picture 6"/>
            <wp:cNvGraphicFramePr>
              <a:graphicFrameLocks noChangeAspect="1"/>
            </wp:cNvGraphicFramePr>
            <a:graphic>
              <a:graphicData uri="http://schemas.openxmlformats.org/drawingml/2006/picture">
                <pic:pic>
                  <pic:nvPicPr>
                    <pic:cNvPr id="0" name="fig4_4_synapse_3d_models.png"/>
                    <pic:cNvPicPr/>
                  </pic:nvPicPr>
                  <pic:blipFill>
                    <a:blip r:embed="rId14"/>
                    <a:stretch>
                      <a:fillRect/>
                    </a:stretch>
                  </pic:blipFill>
                  <pic:spPr>
                    <a:xfrm>
                      <a:off x="0" y="0"/>
                      <a:ext cx="4389120" cy="5486400"/>
                    </a:xfrm>
                    <a:prstGeom prst="rect"/>
                  </pic:spPr>
                </pic:pic>
              </a:graphicData>
            </a:graphic>
          </wp:inline>
        </w:drawing>
      </w:r>
    </w:p>
    <w:p>
      <w:pPr>
        <w:spacing w:after="120" w:line="276" w:lineRule="auto"/>
        <w:jc w:val="center"/>
      </w:pPr>
      <w:r>
        <w:rPr>
          <w:rFonts w:ascii="Times New Roman" w:hAnsi="Times New Roman"/>
          <w:b/>
          <w:i w:val="0"/>
          <w:sz w:val="21"/>
        </w:rPr>
        <w:t>Figure 4.4: Synapse BuildOS 3D Spatial Models (Exterior Perspective &amp; Axonometric Massing)</w:t>
      </w:r>
    </w:p>
    <w:p>
      <w:pPr>
        <w:spacing w:before="200" w:after="80"/>
        <w:jc w:val="left"/>
      </w:pPr>
      <w:r>
        <w:rPr>
          <w:rFonts w:ascii="Times New Roman" w:hAnsi="Times New Roman"/>
          <w:b/>
          <w:sz w:val="24"/>
        </w:rPr>
        <w:t>4.4.1 SAMPLE ARCHITECTURAL DESIGN MODEL: VILLA HARMONY (3BHK DUPLEX)</w:t>
      </w:r>
    </w:p>
    <w:p>
      <w:pPr>
        <w:spacing w:after="120" w:line="276" w:lineRule="auto"/>
        <w:jc w:val="both"/>
      </w:pPr>
      <w:r>
        <w:rPr>
          <w:rFonts w:ascii="Times New Roman" w:hAnsi="Times New Roman"/>
          <w:b w:val="0"/>
          <w:i w:val="0"/>
          <w:sz w:val="22"/>
        </w:rPr>
        <w:t>To demonstrate the end-to-end capabilities of Synapse BuildOS, a complete sample architectural design was modeled for 'Villa Harmony' on an East-facing 40 ft × 60 ft (2,400 sq ft) plot in Chennai, Tamil Nadu under TNCDBR 2019 rules and TN PWD 2025–26 plinth rates:</w:t>
      </w:r>
    </w:p>
    <w:p>
      <w:r>
        <w:drawing>
          <wp:inline xmlns:a="http://schemas.openxmlformats.org/drawingml/2006/main" xmlns:pic="http://schemas.openxmlformats.org/drawingml/2006/picture">
            <wp:extent cx="4389120" cy="5486400"/>
            <wp:docPr id="7" name="Picture 7"/>
            <wp:cNvGraphicFramePr>
              <a:graphicFrameLocks noChangeAspect="1"/>
            </wp:cNvGraphicFramePr>
            <a:graphic>
              <a:graphicData uri="http://schemas.openxmlformats.org/drawingml/2006/picture">
                <pic:pic>
                  <pic:nvPicPr>
                    <pic:cNvPr id="0" name="fig4_5_synapse_sample_design.png"/>
                    <pic:cNvPicPr/>
                  </pic:nvPicPr>
                  <pic:blipFill>
                    <a:blip r:embed="rId15"/>
                    <a:stretch>
                      <a:fillRect/>
                    </a:stretch>
                  </pic:blipFill>
                  <pic:spPr>
                    <a:xfrm>
                      <a:off x="0" y="0"/>
                      <a:ext cx="4389120" cy="5486400"/>
                    </a:xfrm>
                    <a:prstGeom prst="rect"/>
                  </pic:spPr>
                </pic:pic>
              </a:graphicData>
            </a:graphic>
          </wp:inline>
        </w:drawing>
      </w:r>
    </w:p>
    <w:p>
      <w:pPr>
        <w:spacing w:after="120" w:line="276" w:lineRule="auto"/>
        <w:jc w:val="center"/>
      </w:pPr>
      <w:r>
        <w:rPr>
          <w:rFonts w:ascii="Times New Roman" w:hAnsi="Times New Roman"/>
          <w:b/>
          <w:i w:val="0"/>
          <w:sz w:val="21"/>
        </w:rPr>
        <w:t>Figure 4.5: Sample Architectural Design Model (Villa Harmony 3BHK Duplex — 2D Floor Plan &amp; 3D Massing Extrusion)</w:t>
      </w:r>
    </w:p>
    <w:p>
      <w:pPr>
        <w:spacing w:after="120" w:line="276" w:lineRule="auto"/>
        <w:jc w:val="both"/>
      </w:pPr>
      <w:r>
        <w:rPr>
          <w:rFonts w:ascii="Times New Roman" w:hAnsi="Times New Roman"/>
          <w:b w:val="0"/>
          <w:i w:val="0"/>
          <w:sz w:val="22"/>
        </w:rPr>
        <w:t>• Plot Dimensions &amp; Area: 40 ft frontage × 60 ft depth = 2,400 sq ft plot area (East-facing road).</w:t>
      </w:r>
    </w:p>
    <w:p>
      <w:pPr>
        <w:spacing w:after="120" w:line="276" w:lineRule="auto"/>
        <w:jc w:val="both"/>
      </w:pPr>
      <w:r>
        <w:rPr>
          <w:rFonts w:ascii="Times New Roman" w:hAnsi="Times New Roman"/>
          <w:b w:val="0"/>
          <w:i w:val="0"/>
          <w:sz w:val="22"/>
        </w:rPr>
        <w:t>• Built-up Area: Total: 1,842 sq ft (Ground Floor Built-up: 1,026 sq ft, First Floor: 816 sq ft, Parking Bay: 160 sq ft unconditioned).</w:t>
      </w:r>
    </w:p>
    <w:p>
      <w:pPr>
        <w:spacing w:after="120" w:line="276" w:lineRule="auto"/>
        <w:jc w:val="both"/>
      </w:pPr>
      <w:r>
        <w:rPr>
          <w:rFonts w:ascii="Times New Roman" w:hAnsi="Times New Roman"/>
          <w:b w:val="0"/>
          <w:i w:val="0"/>
          <w:sz w:val="22"/>
        </w:rPr>
        <w:t>• TNCDBR 2019 Compliance Audit: FSI: 0.77 (Max 1.50) — PASS; Ground Coverage: 42.75% (Max 65%) — PASS; Front Setback: 10.0 ft (Min 5.0 ft) — PASS; Rear Setback: 6.0 ft — PASS; Side Setbacks: 4.0 ft North / 4.0 ft South — PASS.</w:t>
      </w:r>
    </w:p>
    <w:p>
      <w:pPr>
        <w:spacing w:after="120" w:line="276" w:lineRule="auto"/>
        <w:jc w:val="both"/>
      </w:pPr>
      <w:r>
        <w:rPr>
          <w:rFonts w:ascii="Times New Roman" w:hAnsi="Times New Roman"/>
          <w:b w:val="0"/>
          <w:i w:val="0"/>
          <w:sz w:val="22"/>
        </w:rPr>
        <w:t>• Tamil Nadu PWD 2025–26 Plinth Rate Cost Audit: Civil structure (₹39.6L) + Masonry (₹14.2L) + Finishes (₹6.8L) + MEP &amp; Conduits (₹8.4L) + Doors/Windows (₹4.5L) = Total ₹73,50,300 (Within ₹85 Lakh Budget ceiling).</w:t>
      </w:r>
    </w:p>
    <w:p>
      <w:pPr>
        <w:spacing w:after="120" w:line="276" w:lineRule="auto"/>
        <w:jc w:val="both"/>
      </w:pPr>
      <w:r>
        <w:rPr>
          <w:rFonts w:ascii="Times New Roman" w:hAnsi="Times New Roman"/>
          <w:b w:val="0"/>
          <w:i w:val="0"/>
          <w:sz w:val="22"/>
        </w:rPr>
        <w:t>• Construction Readiness Score: 92 / 100 (Budget Fit: 95%, Statutory Compliance: 100%, Buildability: 90%, Sustainability: 82%).</w:t>
      </w:r>
    </w:p>
    <w:p>
      <w:pPr>
        <w:spacing w:before="200" w:after="80"/>
        <w:jc w:val="left"/>
      </w:pPr>
      <w:r>
        <w:rPr>
          <w:rFonts w:ascii="Times New Roman" w:hAnsi="Times New Roman"/>
          <w:b/>
          <w:sz w:val="24"/>
        </w:rPr>
        <w:t>4.5 CONCLUSION OF TESTING</w:t>
      </w:r>
    </w:p>
    <w:p>
      <w:pPr>
        <w:spacing w:after="120" w:line="276" w:lineRule="auto"/>
        <w:jc w:val="both"/>
      </w:pPr>
      <w:r>
        <w:rPr>
          <w:rFonts w:ascii="Times New Roman" w:hAnsi="Times New Roman"/>
          <w:b w:val="0"/>
          <w:i w:val="0"/>
          <w:sz w:val="22"/>
        </w:rPr>
        <w:t>The testing confirmed that Synapse BuildOS fulfills all functional and engineering objectives, providing 100% mathematical takeoff accuracy, sub-12ms response times, and robust statutory compliance assurance.</w:t>
      </w:r>
    </w:p>
    <w:p>
      <w:r>
        <w:br w:type="page"/>
      </w:r>
    </w:p>
    <w:p>
      <w:pPr>
        <w:spacing w:before="280" w:after="240"/>
        <w:jc w:val="center"/>
      </w:pPr>
      <w:r>
        <w:rPr>
          <w:rFonts w:ascii="Times New Roman" w:hAnsi="Times New Roman"/>
          <w:b/>
          <w:sz w:val="28"/>
        </w:rPr>
        <w:t>CHAPTER 5</w:t>
        <w:br/>
        <w:t>CONCLUSION AND FUTURE WORK</w:t>
      </w:r>
    </w:p>
    <w:p>
      <w:pPr>
        <w:spacing w:before="200" w:after="80"/>
        <w:jc w:val="left"/>
      </w:pPr>
      <w:r>
        <w:rPr>
          <w:rFonts w:ascii="Times New Roman" w:hAnsi="Times New Roman"/>
          <w:b/>
          <w:sz w:val="24"/>
        </w:rPr>
        <w:t>5.1 CONCLUSION</w:t>
      </w:r>
    </w:p>
    <w:p>
      <w:pPr>
        <w:spacing w:after="120" w:line="276" w:lineRule="auto"/>
        <w:jc w:val="both"/>
      </w:pPr>
      <w:r>
        <w:rPr>
          <w:rFonts w:ascii="Times New Roman" w:hAnsi="Times New Roman"/>
          <w:b w:val="0"/>
          <w:i w:val="0"/>
          <w:sz w:val="22"/>
        </w:rPr>
        <w:t>Synapse BuildOS demonstrates the successful realization of an intelligent residential building OS that unifies architectural planning, statutory compliance verification, and quantity cost estimation into a single browser environment. By establishing room geometry as the single source of truth, it eliminates drafting-cost disconnects and municipal rejection risks, democratizing professional architectural planning.</w:t>
      </w:r>
    </w:p>
    <w:p>
      <w:pPr>
        <w:spacing w:before="200" w:after="80"/>
        <w:jc w:val="left"/>
      </w:pPr>
      <w:r>
        <w:rPr>
          <w:rFonts w:ascii="Times New Roman" w:hAnsi="Times New Roman"/>
          <w:b/>
          <w:sz w:val="24"/>
        </w:rPr>
        <w:t>5.2 FUTURE WORK</w:t>
      </w:r>
    </w:p>
    <w:p>
      <w:pPr>
        <w:spacing w:after="120" w:line="276" w:lineRule="auto"/>
        <w:jc w:val="both"/>
      </w:pPr>
      <w:r>
        <w:rPr>
          <w:rFonts w:ascii="Times New Roman" w:hAnsi="Times New Roman"/>
          <w:b w:val="0"/>
          <w:i w:val="0"/>
          <w:sz w:val="22"/>
        </w:rPr>
        <w:t>1. Automated Municipal Portal Submission (direct API submission to government portals).</w:t>
        <w:br/>
        <w:t>2. Structural FEA Analysis (beam-column reinforcement sizing per IS 456).</w:t>
        <w:br/>
        <w:t>3. Automated MEP Routing (optimized electrical and plumbing networks).</w:t>
        <w:br/>
        <w:t>4. Drone Survey Point Cloud Overlay (real-world site terrain integration).</w:t>
        <w:br/>
        <w:t>5. Embodied Carbon and Energy Modeling (daylight and thermal simulations).</w:t>
        <w:br/>
        <w:t>6. Native Mobile Applications for on-site augmented reality.</w:t>
      </w:r>
    </w:p>
    <w:p>
      <w:r>
        <w:br w:type="page"/>
      </w:r>
    </w:p>
    <w:p>
      <w:pPr>
        <w:spacing w:before="280" w:after="240"/>
        <w:jc w:val="center"/>
      </w:pPr>
      <w:r>
        <w:rPr>
          <w:rFonts w:ascii="Times New Roman" w:hAnsi="Times New Roman"/>
          <w:b/>
          <w:sz w:val="28"/>
        </w:rPr>
        <w:t>APPENDIX 1</w:t>
        <w:br/>
        <w:t>SAMPLE CODE</w:t>
      </w:r>
    </w:p>
    <w:p>
      <w:pPr>
        <w:spacing w:before="200" w:after="80"/>
        <w:jc w:val="left"/>
      </w:pPr>
      <w:r>
        <w:rPr>
          <w:rFonts w:ascii="Times New Roman" w:hAnsi="Times New Roman"/>
          <w:b/>
          <w:sz w:val="24"/>
        </w:rPr>
        <w:t>CORE ENGINE ARCHITECTURE (web/engine.js)</w:t>
      </w:r>
    </w:p>
    <w:p>
      <w:pPr>
        <w:spacing w:line="240" w:lineRule="auto"/>
      </w:pPr>
      <w:r>
        <w:rPr>
          <w:rFonts w:ascii="Courier New" w:hAnsi="Courier New"/>
          <w:sz w:val="16"/>
        </w:rPr>
        <w:t>/* =====================================================================</w:t>
        <w:br/>
        <w:t xml:space="preserve">   SYNAPSE ENGINE — the shared model</w:t>
        <w:br/>
        <w:t xml:space="preserve">   One copy of the geometry, cost, compliance and scoring rules, imported by</w:t>
        <w:br/>
        <w:t xml:space="preserve">   both the landing page and the studio, and mirroring api/app/engines/*.py.</w:t>
        <w:br/>
        <w:t xml:space="preserve">   Every function takes the model explicitly:</w:t>
        <w:br/>
        <w:br/>
        <w:t xml:space="preserve">     M = { rooms, plot, interiors, budget, brief }</w:t>
        <w:br/>
        <w:br/>
        <w:t xml:space="preserve">   so nothing here reaches for page state, and the two pages cannot drift.</w:t>
        <w:br/>
        <w:t xml:space="preserve">   ===================================================================== */</w:t>
        <w:br/>
        <w:t>export const clamp = (v, lo, hi) =&gt; Math.max(lo, Math.min(hi, v));</w:t>
        <w:br/>
        <w:br/>
        <w:t>/* ---------- constants mirrored from geometry.py ---------- */</w:t>
        <w:br/>
        <w:t>export const FLOOR_H = 10, OPENING = 0.12, SNAP = 0.5;</w:t>
        <w:br/>
        <w:t>/* Wall thicknesses and opening sizes, in feet. They belong here rather than</w:t>
        <w:br/>
        <w:t xml:space="preserve">   inside the 3D builder because the plan draws the same doors the model</w:t>
        <w:br/>
        <w:t xml:space="preserve">   builds and the IFC writes the same widths — one set of numbers, three</w:t>
        <w:br/>
        <w:t xml:space="preserve">   readers. */</w:t>
        <w:br/>
        <w:t>export const WALL_EXT = .75, WALL_INT = .5, DOOR_W = 3.2, DOOR_H = 7,</w:t>
        <w:br/>
        <w:t xml:space="preserve">             SILL = 3, HEAD = 7, EYE = 5.6;</w:t>
        <w:br/>
        <w:t>export const POINTS = {</w:t>
        <w:br/>
        <w:t xml:space="preserve">  bedroom:[1,2,8], living:[1,3,10], kitchen:[1,2,12], bath:[1,1,3], dining:[0,2,6],</w:t>
        <w:br/>
        <w:t xml:space="preserve">  office:[1,1,8], pooja:[1,0,3], parking:[0,0,2], utility:[1,1,4],</w:t>
        <w:br/>
        <w:t xml:space="preserve">  stairs:[0,1,3], balcony:[1,0,2]</w:t>
        <w:br/>
        <w:t>};</w:t>
        <w:br/>
        <w:t>export const DEFAULT_SIZE = {</w:t>
        <w:br/>
        <w:t xml:space="preserve">  bedroom:[13,10], bath:[7,6.5], living:[18,12], kitchen:[11,10], dining:[11,9],</w:t>
        <w:br/>
        <w:t xml:space="preserve">  office:[10,10], pooja:[6,6], utility:[8,6.5], stairs:[4,12], balcony:[10,6], parking:[15,10]</w:t>
        <w:br/>
        <w:t>};</w:t>
        <w:br/>
        <w:t>export const MIN_SIZE = { bath:[4,4], pooja:[4,4], stairs:[3,8], default:[5,5] };</w:t>
        <w:br/>
        <w:t>export const LABEL = { bedroom:"Bedroom", bath:"Bathroom", living:"Living room", kitchen:"Kitchen",</w:t>
        <w:br/>
        <w:t xml:space="preserve">  dining:"Dining", office:"Office", pooja:"Pooja room", utility:"Utility",</w:t>
        <w:br/>
        <w:t xml:space="preserve">  stairs:"Stairs", balcony:"Balcony", parking:"Parking" };</w:t>
        <w:br/>
        <w:t>/* Spaces that are not enclosed conditioned area. Parking and balcony are</w:t>
        <w:br/>
        <w:t xml:space="preserve">   excluded from built-up the way a municipality would exclude them. */</w:t>
        <w:br/>
        <w:t>export const UNCONDITIONED = new Set(["parking", "balcony"]);</w:t>
        <w:br/>
        <w:br/>
        <w:t>/* Published plinth-area rates (₹ per sq m) and bylaws per region. Mirrors</w:t>
        <w:br/>
        <w:t xml:space="preserve">   api/app/regions.py — change both together.</w:t>
        <w:br/>
        <w:t xml:space="preserve">   Tamil Nadu: TN PWD Plinth Area Rates 2025-26, Circular Memo HDO(A)/48518/2003</w:t>
        <w:br/>
        <w:t xml:space="preserve">   dated 30.07.2025, residential framed, effective 01.08.2025. */</w:t>
        <w:br/>
        <w:t>export const TN_SERVICES = { "Internal water supply":767, "Internal sanitary arrangements":597,</w:t>
        <w:br/>
        <w:t xml:space="preserve">                      "Internal electrical arrangements":1269 };</w:t>
        <w:br/>
        <w:t>export const tnPar = (foundation, superstructure, roof, nonres) =&gt; ({ foundation, superstructure, roof,</w:t>
        <w:br/>
        <w:t xml:space="preserve">  stilt: Math.round(.65 * nonres * 100) / 100, anti_termite:144, services_per_sqm:TN_SERVICES,</w:t>
        <w:br/>
        <w:t xml:space="preserve">  services_pct:{}, location_index:100, coastal:{ under10:328, "10to24":164 } });</w:t>
        <w:br/>
        <w:t>export const TN_DOC = "Tamil Nadu PWD — Plinth Area Rates 2025-26, Circular Memo HDO(A)/48518/2003 dated 30.07.2025 (Annexure I, III)";</w:t>
        <w:br/>
        <w:t>export const TNCDBR = { version:"TNCDBR-2019.v1", front:4.92, rear:4.92, side:3.28, max_fsi:2.0, max_cover:1.0, max_height:39.4, min_parking:1 };</w:t>
        <w:br/>
        <w:t>export const TN_BIG = tnPar(6420, 17455, 2170, 13110), TN_MID = tnPar(6255, 17070, 2135, 12820), TN_MOF = tnPar(5955, 16260, 2025, 12215);</w:t>
        <w:br/>
        <w:t>export const REGIONS = {</w:t>
        <w:br/>
        <w:t xml:space="preserve">  "Chennai":            { state:"Tamil Nadu", par:TN_BIG, rule:TNCDBR, source:TN_DOC },</w:t>
        <w:br/>
        <w:t xml:space="preserve">  "Coimbatore":         { state:"Tamil Nadu", par:TN_BIG, rule:TNCDBR, source:TN_DOC },</w:t>
        <w:br/>
        <w:t xml:space="preserve">  "Madurai":            { state:"Tamil Nadu", par:TN_BIG, rule:TNCDBR, source:TN_DOC },</w:t>
        <w:br/>
        <w:t xml:space="preserve">  "Trichy":             { state:"Tamil Nadu", par:TN_MID, rule:TNCDBR, source:TN_DOC },</w:t>
        <w:br/>
        <w:t xml:space="preserve">  "Salem":              { state:"Tamil Nadu", par:TN_MID, rule:TNCDBR, source:TN_DOC },</w:t>
        <w:br/>
        <w:t xml:space="preserve">  "Tamil Nadu (other towns)": { state:"Tamil Nadu", par:TN_MOF, rule:TNCDBR, source:TN_DOC }</w:t>
        <w:br/>
        <w:t>};</w:t>
        <w:br/>
        <w:t>export const SQM = 0.09290304;</w:t>
        <w:br/>
        <w:t>export const WEIGHTS = { budget:.35, compliance:.25, buildability:.25, sustainability:.15 };</w:t>
        <w:br/>
        <w:t>/* ---------- finishes ----------</w:t>
        <w:br/>
        <w:t xml:space="preserve">   Each carries a rate, so choosing marble is a design decision with a</w:t>
        <w:br/>
        <w:t xml:space="preserve">   number attached rather than a swatch. */</w:t>
        <w:br/>
        <w:t>export const FINISH = {</w:t>
        <w:br/>
        <w:t xml:space="preserve">  wall: [</w:t>
        <w:br/>
        <w:t xml:space="preserve">    { id:"p-white", name:"White",    rate:28,  color:0xf2efe8, tex:"plaster" },</w:t>
        <w:br/>
        <w:t xml:space="preserve">    { id:"p-warm",  name:"Warm",     rate:28,  color:0xefe5d4, tex:"plaster" },</w:t>
        <w:br/>
        <w:t xml:space="preserve">    { id:"p-sage",  name:"Sage",     rate:32,  color:0xbcc7b2, tex:"plaster" },</w:t>
        <w:br/>
        <w:t xml:space="preserve">    { id:"p-clay",  name:"Clay",     rate:32,  color:0xd9b69a, tex:"plaster" },</w:t>
        <w:br/>
        <w:t xml:space="preserve">    { id:"p-slate", name:"Slate",    rate:32,  color:0x8d97a0, tex:"plaster" },</w:t>
        <w:br/>
        <w:t xml:space="preserve">    { id:"p-teal",  name:"Teal",     rate:32,  color:0x6f9390, tex:"plaster" },</w:t>
        <w:br/>
        <w:t xml:space="preserve">    { id:"p-terra", name:"Terracotta", rate:32, color:0xc0714b, tex:"plaster" },</w:t>
        <w:br/>
        <w:t xml:space="preserve">    { id:"p-tex",   name:"Textured", rate:55,  color:0xe8e2d6, tex:"plaster" },</w:t>
        <w:br/>
        <w:t xml:space="preserve">    { id:"lime",    name:"Lime",     rate:70,  color:0xeae3d2, tex:"plaster" },</w:t>
        <w:br/>
        <w:t xml:space="preserve">    { id:"paper",   name:"Paper",    rate:95,  color:0xe7dccb, tex:"paper" },</w:t>
        <w:br/>
        <w:t xml:space="preserve">    { id:"dado",    name:"Tile dado", rate:120, color:0xd9e2e4, tex:"tile" },</w:t>
        <w:br/>
        <w:t xml:space="preserve">    { id:"conc",    name:"Concrete", rate:210, color:0xa9a49c, tex:"plaster" },</w:t>
        <w:br/>
        <w:t xml:space="preserve">    { id:"brick-e", name:"Brick",    rate:260,</w:t>
      </w:r>
    </w:p>
    <w:p>
      <w:r>
        <w:br w:type="page"/>
      </w:r>
    </w:p>
    <w:p>
      <w:pPr>
        <w:spacing w:before="280" w:after="240"/>
        <w:jc w:val="center"/>
      </w:pPr>
      <w:r>
        <w:rPr>
          <w:rFonts w:ascii="Times New Roman" w:hAnsi="Times New Roman"/>
          <w:b/>
          <w:sz w:val="28"/>
        </w:rPr>
        <w:t>REFERENCES</w:t>
      </w:r>
    </w:p>
    <w:p>
      <w:pPr>
        <w:spacing w:after="120" w:line="276" w:lineRule="auto"/>
        <w:jc w:val="both"/>
      </w:pPr>
      <w:r>
        <w:rPr>
          <w:rFonts w:ascii="Times New Roman" w:hAnsi="Times New Roman"/>
          <w:b w:val="0"/>
          <w:i w:val="0"/>
          <w:sz w:val="22"/>
        </w:rPr>
        <w:t>• Government of Tamil Nadu. (2019). Tamil Nadu Combined Development and Building Rules (TNCDBR 2019). Housing and Urban Development Department, Chennai.</w:t>
      </w:r>
    </w:p>
    <w:p>
      <w:pPr>
        <w:spacing w:after="120" w:line="276" w:lineRule="auto"/>
        <w:jc w:val="both"/>
      </w:pPr>
      <w:r>
        <w:rPr>
          <w:rFonts w:ascii="Times New Roman" w:hAnsi="Times New Roman"/>
          <w:b w:val="0"/>
          <w:i w:val="0"/>
          <w:sz w:val="22"/>
        </w:rPr>
        <w:t>• Public Works Department (PWD). (2025). Schedule of Rates for Building Works (Plinth Area Rates 2025–2026). Government of Tamil Nadu, Chennai.</w:t>
      </w:r>
    </w:p>
    <w:p>
      <w:pPr>
        <w:spacing w:after="120" w:line="276" w:lineRule="auto"/>
        <w:jc w:val="both"/>
      </w:pPr>
      <w:r>
        <w:rPr>
          <w:rFonts w:ascii="Times New Roman" w:hAnsi="Times New Roman"/>
          <w:b w:val="0"/>
          <w:i w:val="0"/>
          <w:sz w:val="22"/>
        </w:rPr>
        <w:t>• Bureau of Indian Standards. (2016). National Building Code of India 2016 (SP 7: 2016). BIS, New Delhi.</w:t>
      </w:r>
    </w:p>
    <w:p>
      <w:pPr>
        <w:spacing w:after="120" w:line="276" w:lineRule="auto"/>
        <w:jc w:val="both"/>
      </w:pPr>
      <w:r>
        <w:rPr>
          <w:rFonts w:ascii="Times New Roman" w:hAnsi="Times New Roman"/>
          <w:b w:val="0"/>
          <w:i w:val="0"/>
          <w:sz w:val="22"/>
        </w:rPr>
        <w:t>• Eastman, C., Teicholz, P., Sacks, R., &amp; Liston, K. (2018). BIM Handbook: A Guide to Building Information Modeling for Owners, Designers, Engineers, Contractors, and Facility Managers (3rd ed.). John Wiley &amp; Sons.</w:t>
      </w:r>
    </w:p>
    <w:p>
      <w:pPr>
        <w:spacing w:after="120" w:line="276" w:lineRule="auto"/>
        <w:jc w:val="both"/>
      </w:pPr>
      <w:r>
        <w:rPr>
          <w:rFonts w:ascii="Times New Roman" w:hAnsi="Times New Roman"/>
          <w:b w:val="0"/>
          <w:i w:val="0"/>
          <w:sz w:val="22"/>
        </w:rPr>
        <w:t>• Cabello, R. et al. (2025). Three.js: JavaScript 3D Library (r160). Retrieved from https://threejs.org/</w:t>
      </w:r>
    </w:p>
    <w:p>
      <w:pPr>
        <w:spacing w:after="120" w:line="276" w:lineRule="auto"/>
        <w:jc w:val="both"/>
      </w:pPr>
      <w:r>
        <w:rPr>
          <w:rFonts w:ascii="Times New Roman" w:hAnsi="Times New Roman"/>
          <w:b w:val="0"/>
          <w:i w:val="0"/>
          <w:sz w:val="22"/>
        </w:rPr>
        <w:t>• Tiangolo, S. (2024). FastAPI: Modern, High-Performance Web Framework for Python. Retrieved from https://fastapi.tiangolo.com/</w:t>
      </w:r>
    </w:p>
    <w:p>
      <w:pPr>
        <w:spacing w:after="120" w:line="276" w:lineRule="auto"/>
        <w:jc w:val="both"/>
      </w:pPr>
      <w:r>
        <w:rPr>
          <w:rFonts w:ascii="Times New Roman" w:hAnsi="Times New Roman"/>
          <w:b w:val="0"/>
          <w:i w:val="0"/>
          <w:sz w:val="22"/>
        </w:rPr>
        <w:t>• Anthropic. (2025). Claude 3.5 Sonnet: Advanced Reasoning and Structured Output Documentation. Anthropic AI Documentation.</w:t>
      </w:r>
    </w:p>
    <w:p>
      <w:pPr>
        <w:spacing w:after="120" w:line="276" w:lineRule="auto"/>
        <w:jc w:val="both"/>
      </w:pPr>
      <w:r>
        <w:rPr>
          <w:rFonts w:ascii="Times New Roman" w:hAnsi="Times New Roman"/>
          <w:b w:val="0"/>
          <w:i w:val="0"/>
          <w:sz w:val="22"/>
        </w:rPr>
        <w:t>• Ching, F. D. (2020). Building Construction Illustrated (6th ed.). John Wiley &amp; Sons, Hoboken, NJ.</w:t>
      </w:r>
    </w:p>
    <w:p>
      <w:pPr>
        <w:spacing w:after="120" w:line="276" w:lineRule="auto"/>
        <w:jc w:val="both"/>
      </w:pPr>
      <w:r>
        <w:rPr>
          <w:rFonts w:ascii="Times New Roman" w:hAnsi="Times New Roman"/>
          <w:b w:val="0"/>
          <w:i w:val="0"/>
          <w:sz w:val="22"/>
        </w:rPr>
        <w:t>• Merrell, P., Schkufza, E., &amp; Koltun, V. (2010). Computer-Generated Residential Building Layouts. ACM Transactions on Graphics (SIGGRAPH Asia), 29(6), 181.</w:t>
      </w:r>
    </w:p>
    <w:p>
      <w:pPr>
        <w:spacing w:after="120" w:line="276" w:lineRule="auto"/>
        <w:jc w:val="both"/>
      </w:pPr>
      <w:r>
        <w:rPr>
          <w:rFonts w:ascii="Times New Roman" w:hAnsi="Times New Roman"/>
          <w:b w:val="0"/>
          <w:i w:val="0"/>
          <w:sz w:val="22"/>
        </w:rPr>
        <w:t>• World Bank. (2023). India Urbanization and Affordable Housing Strategy Report. World Bank Publications.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