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#016 - 3 BHK Traditional Vastu-Compliant (50x45 ft) in Kochi</w:t>
      </w:r>
    </w:p>
    <w:p>
      <w:r>
        <w:t>SYNAPSE STUDIO - ARCHITECTURAL CLIENT BRIEF</w:t>
      </w:r>
    </w:p>
    <w:p>
      <w:r>
        <w:t>Document Reference: BRIEF-016</w:t>
      </w:r>
    </w:p>
    <w:p>
      <w:r>
        <w:t>City / Region: Kochi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#016</w:t>
      </w:r>
    </w:p>
    <w:p>
      <w:r>
        <w:t>Project Type: Residential Independent House (3 BHK)</w:t>
      </w:r>
    </w:p>
    <w:p>
      <w:r>
        <w:t>Location: Kochi,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50 feet</w:t>
      </w:r>
    </w:p>
    <w:p>
      <w:r>
        <w:t>Plot Depth: 45 feet</w:t>
      </w:r>
    </w:p>
    <w:p>
      <w:r>
        <w:t>Plot Total Area: 2250 sq ft</w:t>
      </w:r>
    </w:p>
    <w:p>
      <w:r>
        <w:t>Plot Facing Direction: East</w:t>
      </w:r>
    </w:p>
    <w:p>
      <w:r>
        <w:t>Target Budget: ₹70 Lakhs (₹7,000,000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₹70L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