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#046 - 2 BHK Luxury Mediterranean Villa (30x45 ft) in Chennai</w:t>
      </w:r>
    </w:p>
    <w:p>
      <w:r>
        <w:t>SYNAPSE STUDIO - ARCHITECTURAL CLIENT BRIEF</w:t>
      </w:r>
    </w:p>
    <w:p>
      <w:r>
        <w:t>Document Reference: BRIEF-046</w:t>
      </w:r>
    </w:p>
    <w:p>
      <w:r>
        <w:t>City / Region: Chennai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#046</w:t>
      </w:r>
    </w:p>
    <w:p>
      <w:r>
        <w:t>Project Type: Residential Independent House (2 BHK)</w:t>
      </w:r>
    </w:p>
    <w:p>
      <w:r>
        <w:t>Location: Chennai,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45 feet</w:t>
      </w:r>
    </w:p>
    <w:p>
      <w:r>
        <w:t>Plot Total Area: 1350 sq ft</w:t>
      </w:r>
    </w:p>
    <w:p>
      <w:r>
        <w:t>Plot Facing Direction: South</w:t>
      </w:r>
    </w:p>
    <w:p>
      <w:r>
        <w:t>Target Budget: ₹40 Lakhs (₹4,000,000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