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#083 - 4 BHK Villa Multi-Generational Family Home (50x55 ft) in Chennai</w:t>
      </w:r>
    </w:p>
    <w:p>
      <w:r>
        <w:t>SYNAPSE STUDIO - ARCHITECTURAL CLIENT BRIEF</w:t>
      </w:r>
    </w:p>
    <w:p>
      <w:r>
        <w:t>Document Reference: BRIEF-083</w:t>
      </w:r>
    </w:p>
    <w:p>
      <w:r>
        <w:t>City / Region: Chennai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#083</w:t>
      </w:r>
    </w:p>
    <w:p>
      <w:r>
        <w:t>Project Type: Residential Independent House (4 BHK Villa)</w:t>
      </w:r>
    </w:p>
    <w:p>
      <w:r>
        <w:t>Location: Chennai,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₹115 Lakhs (₹11,500,000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