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A21" w:rsidRDefault="00042A21" w:rsidP="00042A21">
      <w:pPr>
        <w:spacing w:before="100" w:beforeAutospacing="1" w:after="100" w:afterAutospacing="1"/>
        <w:rPr>
          <w:rFonts w:ascii="宋体" w:eastAsia="宋体" w:hAnsi="宋体" w:cs="宋体"/>
        </w:rPr>
      </w:pPr>
      <w:r w:rsidRPr="00C46B19">
        <w:rPr>
          <w:rFonts w:ascii="宋体" w:eastAsia="宋体" w:hAnsi="宋体" w:cs="宋体"/>
        </w:rPr>
        <w:t>作为企业服务架构的一种体现形式，SOA技术参考架构自顶向下分为协同层、流程层、服务层、逻辑层和资源层等5个层次</w:t>
      </w:r>
    </w:p>
    <w:p w:rsidR="00042A21" w:rsidRDefault="00042A21" w:rsidP="00042A21">
      <w:pPr>
        <w:spacing w:before="100" w:beforeAutospacing="1" w:after="100" w:afterAutospacing="1"/>
        <w:rPr>
          <w:rFonts w:ascii="宋体" w:eastAsia="宋体" w:hAnsi="宋体" w:cs="宋体"/>
        </w:rPr>
      </w:pPr>
      <w:r>
        <w:rPr>
          <w:rFonts w:ascii="宋体" w:eastAsia="宋体" w:hAnsi="宋体" w:cs="宋体"/>
          <w:noProof/>
          <w:color w:val="0000FF"/>
        </w:rPr>
        <w:drawing>
          <wp:inline distT="0" distB="0" distL="0" distR="0" wp14:anchorId="1EB23AAD" wp14:editId="3681C535">
            <wp:extent cx="4530811" cy="3814676"/>
            <wp:effectExtent l="0" t="0" r="3175" b="0"/>
            <wp:docPr id="39" name="图片 39" descr="http://images.51cto.com/files/uploadimg/20091228/22231077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51cto.com/files/uploadimg/20091228/222310770.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0978" cy="3814817"/>
                    </a:xfrm>
                    <a:prstGeom prst="rect">
                      <a:avLst/>
                    </a:prstGeom>
                    <a:noFill/>
                    <a:ln>
                      <a:noFill/>
                    </a:ln>
                  </pic:spPr>
                </pic:pic>
              </a:graphicData>
            </a:graphic>
          </wp:inline>
        </w:drawing>
      </w:r>
    </w:p>
    <w:p w:rsidR="00042A21" w:rsidRPr="00C46B19" w:rsidRDefault="00042A21" w:rsidP="00042A21">
      <w:pPr>
        <w:spacing w:before="100" w:beforeAutospacing="1" w:after="100" w:afterAutospacing="1"/>
        <w:rPr>
          <w:rFonts w:ascii="宋体" w:eastAsia="宋体" w:hAnsi="宋体" w:cs="宋体"/>
        </w:rPr>
      </w:pPr>
      <w:r w:rsidRPr="00C46B19">
        <w:rPr>
          <w:rFonts w:ascii="宋体" w:eastAsia="宋体" w:hAnsi="宋体" w:cs="宋体"/>
        </w:rPr>
        <w:t>SOA技术分层架构</w:t>
      </w:r>
    </w:p>
    <w:p w:rsidR="00042A21" w:rsidRPr="00C46B19" w:rsidRDefault="00042A21" w:rsidP="00042A21">
      <w:pPr>
        <w:spacing w:before="100" w:beforeAutospacing="1" w:after="100" w:afterAutospacing="1"/>
        <w:rPr>
          <w:rFonts w:ascii="宋体" w:eastAsia="宋体" w:hAnsi="宋体" w:cs="宋体"/>
        </w:rPr>
      </w:pPr>
      <w:r w:rsidRPr="00C46B19">
        <w:rPr>
          <w:rFonts w:ascii="宋体" w:eastAsia="宋体" w:hAnsi="宋体" w:cs="宋体"/>
        </w:rPr>
        <w:t>（1）资源层。包含现有的自定义构建的应用程序（遗留系统），现有的CRM和ERP打包应用程序，以及原有的面向对象的系统实现、业务智能应用程 序。SOA利用现有系统并且用基于服务的集成技术来集成它们。资源层解决如何整合数据的问题，需要通过一个统一的数据编程模式统一对不同数据源的访问。</w:t>
      </w:r>
    </w:p>
    <w:p w:rsidR="00042A21" w:rsidRPr="00C46B19" w:rsidRDefault="00042A21" w:rsidP="00042A21">
      <w:pPr>
        <w:spacing w:before="100" w:beforeAutospacing="1" w:after="100" w:afterAutospacing="1"/>
        <w:rPr>
          <w:rFonts w:ascii="宋体" w:eastAsia="宋体" w:hAnsi="宋体" w:cs="宋体"/>
        </w:rPr>
      </w:pPr>
      <w:r w:rsidRPr="00C46B19">
        <w:rPr>
          <w:rFonts w:ascii="宋体" w:eastAsia="宋体" w:hAnsi="宋体" w:cs="宋体"/>
        </w:rPr>
        <w:t>（2）逻辑层。逻辑层实现了具体的业务逻辑，包括UI逻辑和后台逻辑。逻辑层由多个构件组成，这些构件将以可插拔的方式部署，使用AOP、依赖注入的方式编程，提供逻辑的编排能力。</w:t>
      </w:r>
    </w:p>
    <w:p w:rsidR="00042A21" w:rsidRPr="00C46B19" w:rsidRDefault="00042A21" w:rsidP="00042A21">
      <w:pPr>
        <w:spacing w:before="100" w:beforeAutospacing="1" w:after="100" w:afterAutospacing="1"/>
        <w:rPr>
          <w:rFonts w:ascii="宋体" w:eastAsia="宋体" w:hAnsi="宋体" w:cs="宋体"/>
        </w:rPr>
      </w:pPr>
      <w:r w:rsidRPr="00C46B19">
        <w:rPr>
          <w:rFonts w:ascii="宋体" w:eastAsia="宋体" w:hAnsi="宋体" w:cs="宋体"/>
        </w:rPr>
        <w:t>（3）服务层。服务层将应用系统提供的逻辑以标准化的方式暴露出来，使开发者不需要关心逻辑的对外协议、逻辑的实现方式、逻辑的部署位置，并提供事件的方式降低逻辑间的耦合度，为非侵入式的操作提供基础。</w:t>
      </w:r>
    </w:p>
    <w:p w:rsidR="00042A21" w:rsidRPr="00C46B19" w:rsidRDefault="00042A21" w:rsidP="00042A21">
      <w:pPr>
        <w:rPr>
          <w:rFonts w:ascii="宋体" w:eastAsia="宋体" w:hAnsi="宋体" w:cs="宋体"/>
        </w:rPr>
      </w:pPr>
      <w:r w:rsidRPr="00C46B19">
        <w:rPr>
          <w:rFonts w:ascii="宋体" w:eastAsia="宋体" w:hAnsi="宋体" w:cs="宋体"/>
        </w:rPr>
        <w:t> </w:t>
      </w:r>
    </w:p>
    <w:p w:rsidR="00042A21" w:rsidRPr="00C46B19" w:rsidRDefault="00042A21" w:rsidP="00042A21">
      <w:pPr>
        <w:spacing w:before="100" w:beforeAutospacing="1" w:after="100" w:afterAutospacing="1"/>
        <w:rPr>
          <w:rFonts w:ascii="宋体" w:eastAsia="宋体" w:hAnsi="宋体" w:cs="宋体"/>
        </w:rPr>
      </w:pPr>
      <w:r w:rsidRPr="00C46B19">
        <w:rPr>
          <w:rFonts w:ascii="宋体" w:eastAsia="宋体" w:hAnsi="宋体" w:cs="宋体"/>
        </w:rPr>
        <w:t>（4）流程层。流程层维护跨系统之间的业务状态，企业应用的核心是业务流程，流程包括端到端流程和人工参与的流程，流程会产生任务，推送到工作平台。流程把企业中多个应用连接起来。</w:t>
      </w:r>
    </w:p>
    <w:p w:rsidR="00042A21" w:rsidRPr="00C46B19" w:rsidRDefault="00042A21" w:rsidP="00042A21">
      <w:pPr>
        <w:spacing w:before="100" w:beforeAutospacing="1" w:after="100" w:afterAutospacing="1"/>
        <w:rPr>
          <w:rFonts w:ascii="宋体" w:eastAsia="宋体" w:hAnsi="宋体" w:cs="宋体"/>
        </w:rPr>
      </w:pPr>
      <w:r w:rsidRPr="00C46B19">
        <w:rPr>
          <w:rFonts w:ascii="宋体" w:eastAsia="宋体" w:hAnsi="宋体" w:cs="宋体"/>
        </w:rPr>
        <w:lastRenderedPageBreak/>
        <w:t>（5）协同层。协同层为用户提供了一个统一的交互门户和工作平台，通过RIA（Rich Internet Application）的方式在应用程序人机接口或者表现层来利用 Web 服务，以服务的形式进行界面的组装和重用，提升用户体验，用户通过协同层更容易与其他人进行协作，例如即时通信、查看任务列表、查看发布信息，也能够把已 有数据、服务或界面快速组合到新应用中。通过协同层，用户不再与多个孤立的系统进行交互，而是面对一个有机的整体。</w:t>
      </w:r>
    </w:p>
    <w:p w:rsidR="00042A21" w:rsidRPr="00C46B19" w:rsidRDefault="00042A21" w:rsidP="00042A21">
      <w:pPr>
        <w:spacing w:before="100" w:beforeAutospacing="1" w:after="100" w:afterAutospacing="1"/>
        <w:rPr>
          <w:rFonts w:ascii="宋体" w:eastAsia="宋体" w:hAnsi="宋体" w:cs="宋体"/>
        </w:rPr>
      </w:pPr>
      <w:r w:rsidRPr="00C46B19">
        <w:rPr>
          <w:rFonts w:ascii="宋体" w:eastAsia="宋体" w:hAnsi="宋体" w:cs="宋体"/>
        </w:rPr>
        <w:t>基础设施包括企业服务平台、流程平台、业务工作台等内容，将在9.1.2节"基于SOA的企业应用基础设施"中详细介绍。下面将对技术架构中的5层进行较为详细的介绍。</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b/>
          <w:bCs/>
        </w:rPr>
        <w:t>1．资源层</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基于SOA的应用在资源层很重要的一点是考虑如何整合遗留IT资源，遗留IT资源主要包括遗留数据和遗留系统两种类型。资源层的核心功能是整合这些 企业资产作为可复用的资源。对于遗留数据，平台通过SOA中的SDO标准将其封装成数据实体，对于遗留系统的集成，主要是通过系统功能进行服务抽取，生成 一系列的服务构件。</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资源层的数据标准化提供统一的数据格式和统一的数据模型，有两层含义。</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通过主数据管理提供统一的数据接口，以统一的数据视图展示数据；</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通过统一数据模型SDO和XML Schema处理数据，包括数据的持久化、查找等功能，并屏蔽不同的数据源。</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数据服务对象SDO以动态数据API和静态数据API提供数据访问服务，拥有元数据模型和复杂数据对象，可以记录变更历史。</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b/>
          <w:bCs/>
        </w:rPr>
        <w:t>2．逻辑层</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逻辑层负责具体的业务逻辑实现，按照SOA中的SCA标准，允许多种不同的构件实现方式，如Java构件实现、Spring构件实现、逻辑流构件实 现等。逻辑流构件以图形化的方式构造服务构件，这样编写的代码严格受控，能够提升项目的可管理性和可维护性，并降低开发人员的成本，如图4-7所示。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0"/>
      </w:tblGrid>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42A21" w:rsidRPr="00945FBA" w:rsidRDefault="00042A21" w:rsidP="00042698">
            <w:pPr>
              <w:rPr>
                <w:rFonts w:ascii="宋体" w:eastAsia="宋体" w:hAnsi="宋体" w:cs="宋体"/>
              </w:rPr>
            </w:pPr>
            <w:r>
              <w:rPr>
                <w:rFonts w:ascii="宋体" w:eastAsia="宋体" w:hAnsi="宋体" w:cs="宋体"/>
                <w:noProof/>
                <w:color w:val="0000FF"/>
              </w:rPr>
              <w:drawing>
                <wp:inline distT="0" distB="0" distL="0" distR="0" wp14:anchorId="2B77623D" wp14:editId="1E008BCA">
                  <wp:extent cx="4086225" cy="2388870"/>
                  <wp:effectExtent l="0" t="0" r="9525" b="0"/>
                  <wp:docPr id="40" name="图片 40" descr="http://images.51cto.com/files/uploadimg/20091228/22250293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51cto.com/files/uploadimg/20091228/22250293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2388870"/>
                          </a:xfrm>
                          <a:prstGeom prst="rect">
                            <a:avLst/>
                          </a:prstGeom>
                          <a:noFill/>
                          <a:ln>
                            <a:noFill/>
                          </a:ln>
                        </pic:spPr>
                      </pic:pic>
                    </a:graphicData>
                  </a:graphic>
                </wp:inline>
              </w:drawing>
            </w:r>
            <w:r w:rsidRPr="00945FBA">
              <w:rPr>
                <w:rFonts w:ascii="宋体" w:eastAsia="宋体" w:hAnsi="宋体" w:cs="宋体"/>
              </w:rPr>
              <w:t> </w:t>
            </w:r>
          </w:p>
        </w:tc>
      </w:tr>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42A21" w:rsidRPr="00945FBA" w:rsidRDefault="00042A21" w:rsidP="00042698">
            <w:pPr>
              <w:jc w:val="center"/>
              <w:rPr>
                <w:rFonts w:ascii="宋体" w:eastAsia="宋体" w:hAnsi="宋体" w:cs="宋体"/>
              </w:rPr>
            </w:pPr>
            <w:r w:rsidRPr="00945FBA">
              <w:rPr>
                <w:rFonts w:ascii="宋体" w:eastAsia="宋体" w:hAnsi="宋体" w:cs="宋体"/>
              </w:rPr>
              <w:t>（点击查看大图）图4-7  逻辑流构件</w:t>
            </w:r>
          </w:p>
        </w:tc>
      </w:tr>
    </w:tbl>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由于构件的实现方式不受限制，可以利用丰富的开源构件和积累的构件库。构件库中存储着大量的展现构件、基础业务构件和运算构件，而且构件库中的构件 经过严格测试、并在大量项目中获得验证。因此，构件实现不需要从零开始，并且屏蔽了技术复杂度，能够迅速搭建高质量、高性能、稳定可靠的基础业务框架。</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3．服务层</w:t>
      </w:r>
      <w:r w:rsidRPr="00945FBA">
        <w:rPr>
          <w:rFonts w:ascii="宋体" w:eastAsia="宋体" w:hAnsi="宋体" w:cs="宋体"/>
        </w:rPr>
        <w:br/>
        <w:t>服务层以一种中立的、语言无关的方式表达业务逻辑，屏蔽了业务逻辑的不同实现方式，使调用者不需要关心逻辑的具体实现技术和细 节。服务层用来将构件层编写的构件按照统一构件模型装配成服务的方式暴露给其他模块或者其他系统。服务层的服务含义不仅仅是指Web Service，在SOA体系中，服务是构件暴露出来的业务操作，在技术上可以体现为Web Service、Java、EJB、JMS、RMI等多种调用方式。服务与构件的逻辑模型如图4-8所示。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60"/>
      </w:tblGrid>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42A21" w:rsidRPr="00945FBA" w:rsidRDefault="00042A21" w:rsidP="00042698">
            <w:pPr>
              <w:rPr>
                <w:rFonts w:ascii="宋体" w:eastAsia="宋体" w:hAnsi="宋体" w:cs="宋体"/>
              </w:rPr>
            </w:pPr>
            <w:r>
              <w:rPr>
                <w:rFonts w:ascii="宋体" w:eastAsia="宋体" w:hAnsi="宋体" w:cs="宋体"/>
                <w:noProof/>
                <w:color w:val="0000FF"/>
              </w:rPr>
              <w:drawing>
                <wp:inline distT="0" distB="0" distL="0" distR="0" wp14:anchorId="15FF7EC1" wp14:editId="05AE78B3">
                  <wp:extent cx="5486400" cy="3838575"/>
                  <wp:effectExtent l="0" t="0" r="0" b="9525"/>
                  <wp:docPr id="41" name="图片 41" descr="http://images.51cto.com/files/uploadimg/20091228/222611588.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51cto.com/files/uploadimg/20091228/222611588.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38575"/>
                          </a:xfrm>
                          <a:prstGeom prst="rect">
                            <a:avLst/>
                          </a:prstGeom>
                          <a:noFill/>
                          <a:ln>
                            <a:noFill/>
                          </a:ln>
                        </pic:spPr>
                      </pic:pic>
                    </a:graphicData>
                  </a:graphic>
                </wp:inline>
              </w:drawing>
            </w:r>
            <w:r w:rsidRPr="00945FBA">
              <w:rPr>
                <w:rFonts w:ascii="宋体" w:eastAsia="宋体" w:hAnsi="宋体" w:cs="宋体"/>
              </w:rPr>
              <w:t> </w:t>
            </w:r>
          </w:p>
        </w:tc>
      </w:tr>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42A21" w:rsidRPr="00945FBA" w:rsidRDefault="00042A21" w:rsidP="00042698">
            <w:pPr>
              <w:jc w:val="center"/>
              <w:rPr>
                <w:rFonts w:ascii="宋体" w:eastAsia="宋体" w:hAnsi="宋体" w:cs="宋体"/>
              </w:rPr>
            </w:pPr>
            <w:r w:rsidRPr="00945FBA">
              <w:rPr>
                <w:rFonts w:ascii="宋体" w:eastAsia="宋体" w:hAnsi="宋体" w:cs="宋体"/>
              </w:rPr>
              <w:t>（点击查看大图）图4-8  服务与构件的逻辑模型</w:t>
            </w:r>
          </w:p>
        </w:tc>
      </w:tr>
    </w:tbl>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在服务层，构件定义模型描述服务构件；构件装配模型将小粒度构件装配为组合构件；构件部署模型描述如何部署到运行环境。</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使用SOA原则和统一构件模型提供了灵活性，通过基于接口编程和灵活的协议绑定机制，将新的或者遗留代码构建成服务构件，将小粒度构件组装为大粒度 构件，并在应用间共享服务构件以完成资产复用，提高可重用性；统一构件模型也容易获得主流平台厂商和应用厂商以及社区的广泛支持，达到厂商中立性；支持如 Java、C++、Ruby等多种编程语言，达到语言无关性；支持如Web Service、EJB、JMS、RMI等多种调用协议，达到协议无关性。SCA中构件和实现的关系如图4-9所示。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11"/>
      </w:tblGrid>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42A21" w:rsidRPr="00945FBA" w:rsidRDefault="00042A21" w:rsidP="00042698">
            <w:pPr>
              <w:rPr>
                <w:rFonts w:ascii="宋体" w:eastAsia="宋体" w:hAnsi="宋体" w:cs="宋体"/>
              </w:rPr>
            </w:pPr>
            <w:r>
              <w:rPr>
                <w:rFonts w:ascii="宋体" w:eastAsia="宋体" w:hAnsi="宋体" w:cs="宋体"/>
                <w:noProof/>
                <w:color w:val="0000FF"/>
              </w:rPr>
              <w:drawing>
                <wp:inline distT="0" distB="0" distL="0" distR="0" wp14:anchorId="1159228D" wp14:editId="238F458E">
                  <wp:extent cx="4769485" cy="4382770"/>
                  <wp:effectExtent l="0" t="0" r="0" b="0"/>
                  <wp:docPr id="42" name="图片 42" descr="http://images.51cto.com/files/uploadimg/20091228/22265273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51cto.com/files/uploadimg/20091228/222652731.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9485" cy="4382770"/>
                          </a:xfrm>
                          <a:prstGeom prst="rect">
                            <a:avLst/>
                          </a:prstGeom>
                          <a:noFill/>
                          <a:ln>
                            <a:noFill/>
                          </a:ln>
                        </pic:spPr>
                      </pic:pic>
                    </a:graphicData>
                  </a:graphic>
                </wp:inline>
              </w:drawing>
            </w:r>
            <w:r w:rsidRPr="00945FBA">
              <w:rPr>
                <w:rFonts w:ascii="宋体" w:eastAsia="宋体" w:hAnsi="宋体" w:cs="宋体"/>
              </w:rPr>
              <w:t> </w:t>
            </w:r>
          </w:p>
        </w:tc>
      </w:tr>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42A21" w:rsidRPr="00945FBA" w:rsidRDefault="00042A21" w:rsidP="00042698">
            <w:pPr>
              <w:jc w:val="center"/>
              <w:rPr>
                <w:rFonts w:ascii="宋体" w:eastAsia="宋体" w:hAnsi="宋体" w:cs="宋体"/>
              </w:rPr>
            </w:pPr>
            <w:r w:rsidRPr="00945FBA">
              <w:rPr>
                <w:rFonts w:ascii="宋体" w:eastAsia="宋体" w:hAnsi="宋体" w:cs="宋体"/>
              </w:rPr>
              <w:t>（点击查看大图）图4-9  SCA实现类型</w:t>
            </w:r>
          </w:p>
        </w:tc>
      </w:tr>
    </w:tbl>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b/>
          <w:bCs/>
        </w:rPr>
        <w:t>4．流程层</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流程层提供对业务逻辑的编制功能，提供人工活动和自动活动两种活动的处理能力。在业务流程层使用流程对服务进行编制，组合成业务流程，以任务的形式 体现工作活动，并允许配置参与者、规则和过程来进行执行和监控，从而提升生产组织水平和工作效率。卡中心业务应用的流程示例如图4-10所示。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60"/>
      </w:tblGrid>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42A21" w:rsidRPr="00945FBA" w:rsidRDefault="00042A21" w:rsidP="00042698">
            <w:pPr>
              <w:rPr>
                <w:rFonts w:ascii="宋体" w:eastAsia="宋体" w:hAnsi="宋体" w:cs="宋体"/>
              </w:rPr>
            </w:pPr>
            <w:r>
              <w:rPr>
                <w:rFonts w:ascii="宋体" w:eastAsia="宋体" w:hAnsi="宋体" w:cs="宋体"/>
                <w:noProof/>
                <w:color w:val="0000FF"/>
              </w:rPr>
              <w:drawing>
                <wp:inline distT="0" distB="0" distL="0" distR="0" wp14:anchorId="4A6C1341" wp14:editId="2F2B8712">
                  <wp:extent cx="6079490" cy="2537460"/>
                  <wp:effectExtent l="0" t="0" r="0" b="0"/>
                  <wp:docPr id="44" name="图片 44" descr="http://images.51cto.com/files/uploadimg/20091228/222745669.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51cto.com/files/uploadimg/20091228/222745669.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9490" cy="2537460"/>
                          </a:xfrm>
                          <a:prstGeom prst="rect">
                            <a:avLst/>
                          </a:prstGeom>
                          <a:noFill/>
                          <a:ln>
                            <a:noFill/>
                          </a:ln>
                        </pic:spPr>
                      </pic:pic>
                    </a:graphicData>
                  </a:graphic>
                </wp:inline>
              </w:drawing>
            </w:r>
            <w:r w:rsidRPr="00945FBA">
              <w:rPr>
                <w:rFonts w:ascii="宋体" w:eastAsia="宋体" w:hAnsi="宋体" w:cs="宋体"/>
              </w:rPr>
              <w:t> </w:t>
            </w:r>
          </w:p>
        </w:tc>
      </w:tr>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42A21" w:rsidRPr="00945FBA" w:rsidRDefault="00042A21" w:rsidP="00042698">
            <w:pPr>
              <w:jc w:val="center"/>
              <w:rPr>
                <w:rFonts w:ascii="宋体" w:eastAsia="宋体" w:hAnsi="宋体" w:cs="宋体"/>
              </w:rPr>
            </w:pPr>
            <w:r w:rsidRPr="00945FBA">
              <w:rPr>
                <w:rFonts w:ascii="宋体" w:eastAsia="宋体" w:hAnsi="宋体" w:cs="宋体"/>
              </w:rPr>
              <w:t>（点击查看大图）图4-10  业务流程示例</w:t>
            </w:r>
          </w:p>
        </w:tc>
      </w:tr>
    </w:tbl>
    <w:p w:rsidR="00042A21" w:rsidRPr="00945FBA" w:rsidRDefault="00042A21" w:rsidP="00042A21">
      <w:pPr>
        <w:rPr>
          <w:rFonts w:ascii="宋体" w:eastAsia="宋体" w:hAnsi="宋体" w:cs="宋体"/>
        </w:rPr>
      </w:pPr>
      <w:r w:rsidRPr="00945FBA">
        <w:rPr>
          <w:rFonts w:ascii="宋体" w:eastAsia="宋体" w:hAnsi="宋体" w:cs="宋体"/>
        </w:rPr>
        <w:br/>
      </w:r>
      <w:r w:rsidRPr="00945FBA">
        <w:rPr>
          <w:rFonts w:ascii="宋体" w:eastAsia="宋体" w:hAnsi="宋体" w:cs="宋体"/>
        </w:rPr>
        <w:br/>
      </w:r>
      <w:r w:rsidRPr="00945FBA">
        <w:rPr>
          <w:rFonts w:ascii="宋体" w:eastAsia="宋体" w:hAnsi="宋体" w:cs="宋体"/>
          <w:b/>
          <w:bCs/>
        </w:rPr>
        <w:t>5．协同层</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协同层负责流程、服务、应用和人员间的协同，提供对HTTP、RCP、AJAX、Web Service、Java Client等多种客户接入方式的支持，并提供丰富的客户端展现方式，处理单点登录，解决多用户之间的协作问题。通过"协同桌面"提供如电子邮件、即时消 息、手机短信、智能移动终端、在线会议等各种网络交流手段，让员工之间，或员工与系统之间的交流与协同更加快速便捷，如图4-11所示。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0"/>
      </w:tblGrid>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42A21" w:rsidRPr="00945FBA" w:rsidRDefault="00042A21" w:rsidP="00042698">
            <w:pPr>
              <w:rPr>
                <w:rFonts w:ascii="宋体" w:eastAsia="宋体" w:hAnsi="宋体" w:cs="宋体"/>
              </w:rPr>
            </w:pPr>
            <w:r>
              <w:rPr>
                <w:rFonts w:ascii="宋体" w:eastAsia="宋体" w:hAnsi="宋体" w:cs="宋体"/>
                <w:noProof/>
                <w:color w:val="0000FF"/>
              </w:rPr>
              <w:drawing>
                <wp:inline distT="0" distB="0" distL="0" distR="0" wp14:anchorId="33E98AF1" wp14:editId="21840B61">
                  <wp:extent cx="4431665" cy="2743200"/>
                  <wp:effectExtent l="0" t="0" r="6985" b="0"/>
                  <wp:docPr id="45" name="图片 45" descr="http://images.51cto.com/files/uploadimg/20091228/222837234.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51cto.com/files/uploadimg/20091228/222837234.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1665" cy="2743200"/>
                          </a:xfrm>
                          <a:prstGeom prst="rect">
                            <a:avLst/>
                          </a:prstGeom>
                          <a:noFill/>
                          <a:ln>
                            <a:noFill/>
                          </a:ln>
                        </pic:spPr>
                      </pic:pic>
                    </a:graphicData>
                  </a:graphic>
                </wp:inline>
              </w:drawing>
            </w:r>
            <w:r w:rsidRPr="00945FBA">
              <w:rPr>
                <w:rFonts w:ascii="宋体" w:eastAsia="宋体" w:hAnsi="宋体" w:cs="宋体"/>
              </w:rPr>
              <w:t> </w:t>
            </w:r>
          </w:p>
        </w:tc>
      </w:tr>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42A21" w:rsidRPr="00945FBA" w:rsidRDefault="00042A21" w:rsidP="00042698">
            <w:pPr>
              <w:jc w:val="center"/>
              <w:rPr>
                <w:rFonts w:ascii="宋体" w:eastAsia="宋体" w:hAnsi="宋体" w:cs="宋体"/>
              </w:rPr>
            </w:pPr>
            <w:r w:rsidRPr="00945FBA">
              <w:rPr>
                <w:rFonts w:ascii="宋体" w:eastAsia="宋体" w:hAnsi="宋体" w:cs="宋体"/>
              </w:rPr>
              <w:t>（点击查看大图）图4-11  流程、服务、应用和人员间的协同</w:t>
            </w:r>
          </w:p>
        </w:tc>
      </w:tr>
    </w:tbl>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为达到多个要素间的协同，需要使用Mash-up、Dashboard和页面流技术。实现显示与逻辑分离、流程的导航。目前流行的RIA技术包括Ext、Flex、Silverlight、</w:t>
      </w:r>
      <w:proofErr w:type="spellStart"/>
      <w:r w:rsidRPr="00945FBA">
        <w:rPr>
          <w:rFonts w:ascii="宋体" w:eastAsia="宋体" w:hAnsi="宋体" w:cs="宋体"/>
        </w:rPr>
        <w:t>JavaFX</w:t>
      </w:r>
      <w:proofErr w:type="spellEnd"/>
      <w:r w:rsidRPr="00945FBA">
        <w:rPr>
          <w:rFonts w:ascii="宋体" w:eastAsia="宋体" w:hAnsi="宋体" w:cs="宋体"/>
        </w:rPr>
        <w:t>以及报表技术等。</w:t>
      </w:r>
    </w:p>
    <w:p w:rsidR="00042A21" w:rsidRPr="00945FBA" w:rsidRDefault="00042A21" w:rsidP="00042A21">
      <w:pPr>
        <w:spacing w:before="100" w:beforeAutospacing="1" w:after="100" w:afterAutospacing="1"/>
        <w:rPr>
          <w:rFonts w:ascii="宋体" w:eastAsia="宋体" w:hAnsi="宋体" w:cs="宋体"/>
        </w:rPr>
      </w:pPr>
      <w:r w:rsidRPr="00945FBA">
        <w:rPr>
          <w:rFonts w:ascii="宋体" w:eastAsia="宋体" w:hAnsi="宋体" w:cs="宋体"/>
        </w:rPr>
        <w:t>建议通过上述5层SOA技术架构提供的能力，在SOA基础设施上使用SOA应用平台构建企业级的SOA应用，如图4-12所示。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60"/>
      </w:tblGrid>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42A21" w:rsidRPr="00945FBA" w:rsidRDefault="00042A21" w:rsidP="00042698">
            <w:pPr>
              <w:rPr>
                <w:rFonts w:ascii="宋体" w:eastAsia="宋体" w:hAnsi="宋体" w:cs="宋体"/>
              </w:rPr>
            </w:pPr>
            <w:r>
              <w:rPr>
                <w:rFonts w:ascii="宋体" w:eastAsia="宋体" w:hAnsi="宋体" w:cs="宋体"/>
                <w:noProof/>
                <w:color w:val="0000FF"/>
              </w:rPr>
              <w:drawing>
                <wp:inline distT="0" distB="0" distL="0" distR="0" wp14:anchorId="61B55B2F" wp14:editId="0577F6D7">
                  <wp:extent cx="6228080" cy="4415790"/>
                  <wp:effectExtent l="0" t="0" r="1270" b="3810"/>
                  <wp:docPr id="46" name="图片 46" descr="http://images.51cto.com/files/uploadimg/20091228/222914348.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51cto.com/files/uploadimg/20091228/222914348.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8080" cy="4415790"/>
                          </a:xfrm>
                          <a:prstGeom prst="rect">
                            <a:avLst/>
                          </a:prstGeom>
                          <a:noFill/>
                          <a:ln>
                            <a:noFill/>
                          </a:ln>
                        </pic:spPr>
                      </pic:pic>
                    </a:graphicData>
                  </a:graphic>
                </wp:inline>
              </w:drawing>
            </w:r>
            <w:r w:rsidRPr="00945FBA">
              <w:rPr>
                <w:rFonts w:ascii="宋体" w:eastAsia="宋体" w:hAnsi="宋体" w:cs="宋体"/>
              </w:rPr>
              <w:t> </w:t>
            </w:r>
          </w:p>
        </w:tc>
      </w:tr>
      <w:tr w:rsidR="00042A21" w:rsidRPr="00945FBA" w:rsidTr="000426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42A21" w:rsidRPr="00945FBA" w:rsidRDefault="00042A21" w:rsidP="00042698">
            <w:pPr>
              <w:jc w:val="center"/>
              <w:rPr>
                <w:rFonts w:ascii="宋体" w:eastAsia="宋体" w:hAnsi="宋体" w:cs="宋体"/>
              </w:rPr>
            </w:pPr>
            <w:r w:rsidRPr="00945FBA">
              <w:rPr>
                <w:rFonts w:ascii="宋体" w:eastAsia="宋体" w:hAnsi="宋体" w:cs="宋体"/>
              </w:rPr>
              <w:t>（点击查看大图）图4-12  使用SOA构建企业级应用</w:t>
            </w:r>
          </w:p>
        </w:tc>
      </w:tr>
    </w:tbl>
    <w:p w:rsidR="00042A21" w:rsidRPr="00DD2CBB" w:rsidRDefault="00042A21" w:rsidP="00042A21"/>
    <w:p w:rsidR="00042A21" w:rsidRPr="00CD7BFD" w:rsidRDefault="00042A21" w:rsidP="00042A21">
      <w:pPr>
        <w:rPr>
          <w:rFonts w:ascii="宋体" w:eastAsia="宋体" w:hAnsi="宋体" w:cs="宋体"/>
          <w:lang w:eastAsia="zh-TW"/>
        </w:rPr>
      </w:pPr>
    </w:p>
    <w:p w:rsidR="00042A21" w:rsidRPr="00CD7BFD" w:rsidRDefault="00042A21" w:rsidP="00042A21">
      <w:pPr>
        <w:pStyle w:val="11"/>
        <w:ind w:firstLine="606"/>
        <w:rPr>
          <w:rFonts w:ascii="宋体"/>
          <w:b/>
          <w:bCs/>
        </w:rPr>
      </w:pPr>
    </w:p>
    <w:p w:rsidR="008D73CB" w:rsidRDefault="008D73CB">
      <w:bookmarkStart w:id="0" w:name="_GoBack"/>
      <w:bookmarkEnd w:id="0"/>
    </w:p>
    <w:sectPr w:rsidR="008D73CB" w:rsidSect="008D73C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font306">
    <w:charset w:val="80"/>
    <w:family w:val="auto"/>
    <w:pitch w:val="variable"/>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21"/>
    <w:rsid w:val="00042A21"/>
    <w:rsid w:val="008D7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D54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A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注释级别 11"/>
    <w:basedOn w:val="a"/>
    <w:rsid w:val="00042A21"/>
    <w:pPr>
      <w:widowControl/>
      <w:suppressAutoHyphens/>
      <w:jc w:val="left"/>
    </w:pPr>
    <w:rPr>
      <w:rFonts w:ascii="Cambria" w:eastAsia="宋体" w:hAnsi="Cambria" w:cs="font306"/>
      <w:kern w:val="1"/>
      <w:lang w:eastAsia="ar-SA"/>
    </w:rPr>
  </w:style>
  <w:style w:type="paragraph" w:styleId="a3">
    <w:name w:val="Balloon Text"/>
    <w:basedOn w:val="a"/>
    <w:link w:val="a4"/>
    <w:uiPriority w:val="99"/>
    <w:semiHidden/>
    <w:unhideWhenUsed/>
    <w:rsid w:val="00042A21"/>
    <w:rPr>
      <w:rFonts w:ascii="Heiti SC Light" w:eastAsia="Heiti SC Light"/>
      <w:sz w:val="18"/>
      <w:szCs w:val="18"/>
    </w:rPr>
  </w:style>
  <w:style w:type="character" w:customStyle="1" w:styleId="a4">
    <w:name w:val="批注框文本字符"/>
    <w:basedOn w:val="a0"/>
    <w:link w:val="a3"/>
    <w:uiPriority w:val="99"/>
    <w:semiHidden/>
    <w:rsid w:val="00042A2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A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注释级别 11"/>
    <w:basedOn w:val="a"/>
    <w:rsid w:val="00042A21"/>
    <w:pPr>
      <w:widowControl/>
      <w:suppressAutoHyphens/>
      <w:jc w:val="left"/>
    </w:pPr>
    <w:rPr>
      <w:rFonts w:ascii="Cambria" w:eastAsia="宋体" w:hAnsi="Cambria" w:cs="font306"/>
      <w:kern w:val="1"/>
      <w:lang w:eastAsia="ar-SA"/>
    </w:rPr>
  </w:style>
  <w:style w:type="paragraph" w:styleId="a3">
    <w:name w:val="Balloon Text"/>
    <w:basedOn w:val="a"/>
    <w:link w:val="a4"/>
    <w:uiPriority w:val="99"/>
    <w:semiHidden/>
    <w:unhideWhenUsed/>
    <w:rsid w:val="00042A21"/>
    <w:rPr>
      <w:rFonts w:ascii="Heiti SC Light" w:eastAsia="Heiti SC Light"/>
      <w:sz w:val="18"/>
      <w:szCs w:val="18"/>
    </w:rPr>
  </w:style>
  <w:style w:type="character" w:customStyle="1" w:styleId="a4">
    <w:name w:val="批注框文本字符"/>
    <w:basedOn w:val="a0"/>
    <w:link w:val="a3"/>
    <w:uiPriority w:val="99"/>
    <w:semiHidden/>
    <w:rsid w:val="00042A2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mages.51cto.com/files/uploadimg/20091228/222611588.jpg" TargetMode="External"/><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images.51cto.com/files/uploadimg/20091228/222652731.jpg" TargetMode="External"/><Relationship Id="rId12" Type="http://schemas.openxmlformats.org/officeDocument/2006/relationships/image" Target="media/image4.jpeg"/><Relationship Id="rId13" Type="http://schemas.openxmlformats.org/officeDocument/2006/relationships/hyperlink" Target="http://images.51cto.com/files/uploadimg/20091228/222745669.jpg" TargetMode="External"/><Relationship Id="rId14" Type="http://schemas.openxmlformats.org/officeDocument/2006/relationships/image" Target="media/image5.jpeg"/><Relationship Id="rId15" Type="http://schemas.openxmlformats.org/officeDocument/2006/relationships/hyperlink" Target="http://images.51cto.com/files/uploadimg/20091228/222837234.jpg" TargetMode="External"/><Relationship Id="rId16" Type="http://schemas.openxmlformats.org/officeDocument/2006/relationships/image" Target="media/image6.jpeg"/><Relationship Id="rId17" Type="http://schemas.openxmlformats.org/officeDocument/2006/relationships/hyperlink" Target="http://images.51cto.com/files/uploadimg/20091228/222914348.jpg" TargetMode="External"/><Relationship Id="rId18" Type="http://schemas.openxmlformats.org/officeDocument/2006/relationships/image" Target="media/image7.jpe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mages.51cto.com/files/uploadimg/20091228/222310770.jpg" TargetMode="External"/><Relationship Id="rId6" Type="http://schemas.openxmlformats.org/officeDocument/2006/relationships/image" Target="media/image1.jpeg"/><Relationship Id="rId7" Type="http://schemas.openxmlformats.org/officeDocument/2006/relationships/hyperlink" Target="http://images.51cto.com/files/uploadimg/20091228/222502930.jpg" TargetMode="Externa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389</Words>
  <Characters>2220</Characters>
  <Application>Microsoft Macintosh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Holbrook</dc:creator>
  <cp:keywords/>
  <dc:description/>
  <cp:lastModifiedBy>Holbrook</cp:lastModifiedBy>
  <cp:revision>1</cp:revision>
  <dcterms:created xsi:type="dcterms:W3CDTF">2012-01-16T07:45:00Z</dcterms:created>
  <dcterms:modified xsi:type="dcterms:W3CDTF">2012-01-16T07:45:00Z</dcterms:modified>
</cp:coreProperties>
</file>