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60" w:line="240" w:lineRule="auto"/>
        <w:ind w:left="0" w:right="0" w:firstLine="0"/>
        <w:jc w:val="center"/>
      </w:pPr>
      <w:r>
        <w:rPr>
          <w:rFonts w:ascii="Times New Roman" w:hAnsi="Times New Roman" w:eastAsia="Times New Roman" w:cs="Times New Roman"/>
          <w:b/>
          <w:color w:val="4B5560"/>
          <w:sz w:val="18"/>
          <w:spacing w:val="8"/>
        </w:rPr>
        <w:t>ROBOTICS INTEGRATION GROUP PROJECT I  /  GROUP 17</w:t>
      </w:r>
    </w:p>
    <w:p>
      <w:pPr>
        <w:spacing w:before="0" w:after="200" w:line="240" w:lineRule="auto"/>
        <w:ind w:left="0" w:right="0" w:firstLine="0"/>
        <w:jc w:val="center"/>
      </w:pPr>
      <w:r>
        <w:rPr>
          <w:rFonts w:ascii="Times New Roman" w:hAnsi="Times New Roman" w:eastAsia="Times New Roman" w:cs="Times New Roman"/>
          <w:b/>
          <w:color w:val="107B7E"/>
          <w:sz w:val="21"/>
          <w:spacing w:val="12"/>
        </w:rPr>
        <w:t>EXPERIMENT 03</w:t>
      </w:r>
    </w:p>
    <w:p>
      <w:pPr>
        <w:pStyle w:val="Title"/>
        <w:spacing w:before="0" w:after="260" w:line="230" w:lineRule="auto"/>
        <w:ind w:left="0" w:right="0" w:firstLine="0"/>
        <w:jc w:val="center"/>
      </w:pPr>
      <w:r>
        <w:rPr>
          <w:rFonts w:ascii="Georgia" w:hAnsi="Georgia" w:eastAsia="Georgia" w:cs="Georgia"/>
          <w:b/>
          <w:color w:val="000000"/>
          <w:sz w:val="46"/>
        </w:rPr>
        <w:t>Desktop Object Automatic</w:t>
        <w:br/>
        <w:t>Sorting and Organization</w:t>
      </w:r>
    </w:p>
    <w:p>
      <w:pPr>
        <w:spacing w:before="0" w:after="440" w:line="240" w:lineRule="auto"/>
        <w:ind w:left="0" w:right="0" w:firstLine="0"/>
        <w:jc w:val="center"/>
      </w:pPr>
      <w:r>
        <w:rPr>
          <w:rFonts w:ascii="Times New Roman" w:hAnsi="Times New Roman" w:eastAsia="Times New Roman" w:cs="Times New Roman"/>
          <w:b/>
          <w:color w:val="4B5560"/>
          <w:sz w:val="20"/>
          <w:spacing w:val="16"/>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Times New Roman" w:cs="Times New Roman"/>
                <w:b/>
                <w:color w:val="1B3E5B"/>
                <w:sz w:val="18"/>
              </w:rPr>
              <w:t>Gazebo sorting</w:t>
            </w:r>
          </w:p>
          <w:p>
            <w:pPr>
              <w:spacing w:after="100"/>
              <w:jc w:val="center"/>
            </w:pPr>
            <w:r>
              <w:rPr>
                <w:rFonts w:ascii="Times New Roman" w:hAnsi="Times New Roman" w:eastAsia="Times New Roman" w:cs="Times New Roman"/>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Camera detection</w:t>
            </w:r>
          </w:p>
          <w:p>
            <w:pPr>
              <w:spacing w:after="100"/>
              <w:jc w:val="center"/>
            </w:pPr>
            <w:r>
              <w:rPr>
                <w:rFonts w:ascii="Times New Roman" w:hAnsi="Times New Roman" w:eastAsia="Times New Roman" w:cs="Times New Roman"/>
                <w:b w:val="0"/>
                <w:color w:val="4B5560"/>
                <w:sz w:val="16"/>
              </w:rPr>
              <w:t>Eraser  ·  Lock  ·  Stapler</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Hardware acceptance</w:t>
              <w:br/>
              <w:t>Six objects, two classes: Pass</w:t>
            </w:r>
          </w:p>
          <w:p>
            <w:pPr>
              <w:spacing w:after="100"/>
              <w:jc w:val="center"/>
            </w:pPr>
            <w:r>
              <w:rPr>
                <w:rFonts w:ascii="Times New Roman" w:hAnsi="Times New Roman" w:eastAsia="Times New Roman" w:cs="Times New Roman"/>
                <w:b w:val="0"/>
                <w:color w:val="4B5560"/>
                <w:sz w:val="16"/>
              </w:rPr>
            </w:r>
          </w:p>
        </w:tc>
      </w:tr>
    </w:tbl>
    <w:p>
      <w:pPr>
        <w:spacing w:before="360" w:after="40"/>
        <w:ind w:firstLine="0" w:left="0" w:right="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ind w:firstLine="0" w:left="0" w:right="0"/>
        <w:jc w:val="center"/>
      </w:pPr>
      <w:r>
        <w:rPr>
          <w:rFonts w:ascii="Times New Roman" w:hAnsi="Times New Roman" w:eastAsia="Times New Roman" w:cs="Times New Roman"/>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Times New Roman" w:cs="Times New Roman"/>
                <w:b/>
                <w:color w:val="107B7E"/>
                <w:sz w:val="18"/>
              </w:rPr>
              <w:t>Course</w:t>
            </w:r>
          </w:p>
        </w:tc>
        <w:tc>
          <w:tcPr>
            <w:tcW w:type="dxa" w:w="7560"/>
            <w:vAlign w:val="center"/>
          </w:tcPr>
          <w:p>
            <w:pPr>
              <w:spacing w:before="80" w:after="80"/>
            </w:pPr>
            <w:r>
              <w:rPr>
                <w:rFonts w:ascii="Times New Roman" w:hAnsi="Times New Roman" w:eastAsia="Times New Roman" w:cs="Times New Roman"/>
                <w:b w:val="0"/>
                <w:color w:val="1B3E5B"/>
                <w:sz w:val="18"/>
              </w:rPr>
              <w:t>Robotics Integration Group Project I</w:t>
            </w:r>
          </w:p>
        </w:tc>
      </w:tr>
      <w:tr>
        <w:tc>
          <w:tcPr>
            <w:tcW w:type="dxa" w:w="1440"/>
            <w:vAlign w:val="center"/>
          </w:tcPr>
          <w:p>
            <w:pPr>
              <w:spacing w:before="80" w:after="80"/>
            </w:pPr>
            <w:r>
              <w:rPr>
                <w:rFonts w:ascii="Times New Roman" w:hAnsi="Times New Roman" w:eastAsia="Times New Roman" w:cs="Times New Roman"/>
                <w:b/>
                <w:color w:val="107B7E"/>
                <w:sz w:val="18"/>
              </w:rPr>
              <w:t>Team</w:t>
            </w:r>
          </w:p>
        </w:tc>
        <w:tc>
          <w:tcPr>
            <w:tcW w:type="dxa" w:w="7560"/>
            <w:vAlign w:val="center"/>
          </w:tcPr>
          <w:p>
            <w:pPr>
              <w:spacing w:before="80" w:after="80"/>
            </w:pPr>
            <w:r>
              <w:rPr>
                <w:rFonts w:ascii="Times New Roman" w:hAnsi="Times New Roman" w:eastAsia="Times New Roman" w:cs="Times New Roman"/>
                <w:b w:val="0"/>
                <w:color w:val="1B3E5B"/>
                <w:sz w:val="18"/>
              </w:rPr>
              <w:t>Group 17  ·  Yang Muqing, Lan Songyu, Zhang Kairui, Zhao Hang</w:t>
            </w:r>
          </w:p>
        </w:tc>
      </w:tr>
    </w:tbl>
    <w:p>
      <w:pPr>
        <w:spacing w:before="320" w:after="80" w:line="252" w:lineRule="auto"/>
        <w:ind w:firstLine="0" w:left="0" w:right="0"/>
        <w:jc w:val="left"/>
      </w:pPr>
      <w:r>
        <w:rPr>
          <w:rFonts w:ascii="Times New Roman" w:hAnsi="Times New Roman" w:eastAsia="Times New Roman" w:cs="Times New Roman"/>
          <w:b/>
          <w:color w:val="107B7E"/>
          <w:sz w:val="17"/>
        </w:rPr>
        <w:t>PROJECT REPOSITORY</w:t>
      </w:r>
    </w:p>
    <w:p>
      <w:pPr>
        <w:spacing w:before="0" w:after="160" w:line="252" w:lineRule="auto"/>
        <w:ind w:firstLine="0" w:left="0" w:right="0"/>
        <w:jc w:val="left"/>
      </w:pPr>
      <w:r>
        <w:rPr>
          <w:rFonts w:ascii="Times New Roman" w:hAnsi="Times New Roman" w:eastAsia="Times New Roman" w:cs="Times New Roman"/>
          <w:b w:val="0"/>
          <w:color w:val="1B3E5B"/>
          <w:sz w:val="19"/>
        </w:rPr>
        <w:t>https://github.com/9161942-boop/robotics-experiment-3</w:t>
      </w:r>
    </w:p>
    <w:p>
      <w:pPr>
        <w:spacing w:before="0" w:after="0" w:line="252" w:lineRule="auto"/>
        <w:ind w:firstLine="0" w:left="0" w:right="0"/>
        <w:jc w:val="left"/>
      </w:pPr>
      <w:r>
        <w:rPr>
          <w:rFonts w:ascii="Times New Roman" w:hAnsi="Times New Roman" w:eastAsia="Times New Roman" w:cs="Times New Roman"/>
          <w:b w:val="0"/>
          <w:color w:val="4B5560"/>
          <w:sz w:val="18"/>
        </w:rPr>
        <w:t>SEPTEMBER 2026</w:t>
      </w:r>
    </w:p>
    <w:p>
      <w:pPr>
        <w:pStyle w:val="Heading1"/>
        <w:keepNext/>
        <w:pageBreakBefore/>
        <w:spacing w:before="180" w:after="80"/>
      </w:pPr>
      <w:r>
        <w:rPr>
          <w:rFonts w:ascii="Times New Roman" w:hAnsi="Times New Roman" w:eastAsia="Times New Roman" w:cs="Times New Roman"/>
          <w:b/>
          <w:color w:val="1F4E79"/>
          <w:sz w:val="30"/>
        </w:rPr>
        <w:t>Abstract</w:t>
      </w:r>
    </w:p>
    <w:p>
      <w:pPr>
        <w:spacing w:line="276" w:lineRule="auto" w:after="100"/>
      </w:pPr>
      <w:r>
        <w:rPr>
          <w:rFonts w:ascii="Times New Roman" w:hAnsi="Times New Roman" w:eastAsia="Times New Roman" w:cs="Times New Roma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Times New Roman" w:cs="Times New Roma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Times New Roman" w:cs="Times New Roma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cs="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cs="Times New Roman"/>
          <w:b/>
          <w:color w:val="1F4E79"/>
          <w:sz w:val="30"/>
        </w:rPr>
        <w:t>1 Experiment objectives</w:t>
      </w:r>
    </w:p>
    <w:p>
      <w:pPr>
        <w:pStyle w:val="Heading2"/>
        <w:keepNext/>
        <w:spacing w:before="100" w:after="80"/>
      </w:pPr>
      <w:r>
        <w:rPr>
          <w:rFonts w:ascii="Times New Roman" w:hAnsi="Times New Roman" w:eastAsia="Times New Roman" w:cs="Times New Roman"/>
          <w:b/>
          <w:color w:val="1F4E79"/>
          <w:sz w:val="23"/>
        </w:rPr>
        <w:t>1.1 Task objective</w:t>
      </w:r>
    </w:p>
    <w:p>
      <w:pPr>
        <w:spacing w:line="276" w:lineRule="auto" w:after="100"/>
      </w:pPr>
      <w:r>
        <w:rPr>
          <w:rFonts w:ascii="Times New Roman" w:hAnsi="Times New Roman" w:eastAsia="Times New Roman" w:cs="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cs="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cs="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2 Principle</w:t>
      </w:r>
    </w:p>
    <w:p>
      <w:pPr>
        <w:pStyle w:val="Heading2"/>
        <w:keepNext/>
        <w:spacing w:before="100" w:after="80"/>
      </w:pPr>
      <w:r>
        <w:rPr>
          <w:rFonts w:ascii="Times New Roman" w:hAnsi="Times New Roman" w:eastAsia="Times New Roman" w:cs="Times New Roman"/>
          <w:b/>
          <w:color w:val="1F4E79"/>
          <w:sz w:val="23"/>
        </w:rPr>
        <w:t>2.1 Overall system architecture</w:t>
      </w:r>
    </w:p>
    <w:p>
      <w:pPr>
        <w:spacing w:line="276" w:lineRule="auto" w:after="100"/>
      </w:pPr>
      <w:r>
        <w:rPr>
          <w:rFonts w:ascii="Times New Roman" w:hAnsi="Times New Roman" w:eastAsia="Times New Roman" w:cs="Times New Roman"/>
          <w:sz w:val="20"/>
        </w:rPr>
        <w:t>Figure 1 shows the two accepted paths. The Gazebo scene monitor reads colored-cylinder model states and publishes Detection2DArray messages for grid assignment, class-to-bin selection, and arm control. In the hardware path, the external RGB camera and YOLOv8n detect erasers, locks, and staplers. Class-to-bin mapping and pixel-to-grid calibration were completed for the acceptance run, and the same message interface was used by the task workflow.</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cs="Times New Roman"/>
          <w:sz w:val="18"/>
        </w:rPr>
        <w:t>Fig. 1  Gazebo sorting and external-camera detection as separate validation paths</w:t>
      </w:r>
    </w:p>
    <w:p>
      <w:pPr>
        <w:pStyle w:val="Heading2"/>
      </w:pPr>
      <w:r>
        <w:rPr>
          <w:rFonts w:ascii="Times New Roman" w:hAnsi="Times New Roman" w:eastAsia="Times New Roman" w:cs="Times New Roman"/>
          <w:sz w:val="23"/>
        </w:rPr>
        <w:t>2.2 Visual Detection and Message Interface</w:t>
      </w:r>
    </w:p>
    <w:p>
      <w:pPr>
        <w:spacing w:line="276" w:lineRule="auto" w:after="100"/>
      </w:pPr>
      <w:r>
        <w:rPr>
          <w:rFonts w:ascii="Times New Roman" w:hAnsi="Times New Roman" w:eastAsia="Times New Roman" w:cs="Times New Roman"/>
          <w:sz w:val="20"/>
        </w:rPr>
        <w:t>The task node consumes class, bounding box, and confidence from Detection2DArray. The Gazebo sorting run used fields generated from model states by sorting_scene_monitor, while the hardware acceptance used detections from the external camera and YOLOv8n. The eraser, lock, and stapler labels were aligned with the physical sorting regions and the same fields drove target filtering and grid decisions.</w:t>
      </w:r>
    </w:p>
    <w:p>
      <w:pPr>
        <w:pStyle w:val="Heading2"/>
        <w:keepNext/>
        <w:spacing w:before="100" w:after="80"/>
      </w:pPr>
      <w:r>
        <w:rPr>
          <w:rFonts w:ascii="Times New Roman" w:hAnsi="Times New Roman" w:eastAsia="Times New Roman" w:cs="Times New Roman"/>
          <w:sz w:val="23"/>
        </w:rP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cs="Times New Roman"/>
          <w:sz w:val="23"/>
        </w:rPr>
        <w:t>2.4 Exception-handling principle</w:t>
      </w:r>
    </w:p>
    <w:p>
      <w:pPr>
        <w:spacing w:line="276" w:lineRule="auto" w:after="100"/>
      </w:pPr>
      <w:r>
        <w:rPr>
          <w:rFonts w:ascii="Times New Roman" w:hAnsi="Times New Roman" w:eastAsia="Times New Roman" w:cs="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3 Experimental environment and equipment</w:t>
      </w:r>
    </w:p>
    <w:p>
      <w:pPr>
        <w:pStyle w:val="Heading2"/>
        <w:keepNext/>
        <w:spacing w:before="100" w:after="80"/>
      </w:pPr>
      <w:r>
        <w:rPr>
          <w:rFonts w:ascii="Times New Roman" w:hAnsi="Times New Roman" w:eastAsia="Times New Roman" w:cs="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cs="Times New Roman"/>
          <w:sz w:val="18"/>
        </w:rPr>
        <w:t>Fig. 2  Gazebo three-class scene: six picking cells and aligned sorting bins</w:t>
      </w:r>
    </w:p>
    <w:p>
      <w:pPr>
        <w:pStyle w:val="Heading2"/>
        <w:keepNext/>
        <w:spacing w:before="100" w:after="80"/>
      </w:pPr>
      <w:r>
        <w:rPr>
          <w:rFonts w:ascii="Times New Roman" w:hAnsi="Times New Roman" w:eastAsia="Times New Roman" w:cs="Times New Roman"/>
          <w:b/>
          <w:color w:val="1F4E79"/>
          <w:sz w:val="23"/>
        </w:rPr>
        <w:t>3.2 Real-robot hardware and deployment configuration</w:t>
      </w:r>
    </w:p>
    <w:p>
      <w:pPr>
        <w:spacing w:line="276" w:lineRule="auto" w:after="100"/>
      </w:pPr>
      <w:r>
        <w:rPr>
          <w:rFonts w:ascii="Times New Roman" w:hAnsi="Times New Roman" w:eastAsia="Times New Roman" w:cs="Times New Roman"/>
          <w:b w:val="0"/>
          <w:color w:val="232323"/>
          <w:sz w:val="20"/>
        </w:rPr>
        <w:t>The real-robot phase reuses the simulation task interface and connects it to the physical camera driver, desktop calibration, and robot-execution layer. The team calibrated the camera, taught the PICK and PLACE poses, and set the control thresholds on the actual desktop. The table below records the configuration used for the accepted hardware run.</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Grasp opening, closure opening, and release wait time were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sz w:val="18"/>
              </w:rPr>
              <w:t>Calibration and class-map alignment completed; eraser, lock, and stapler detections published through ROS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sz w:val="18"/>
              </w:rPr>
              <w:t>Measured in the camera-driven hardware run; acceptance passed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4 Experimental procedure</w:t>
      </w:r>
    </w:p>
    <w:p>
      <w:pPr>
        <w:pStyle w:val="Heading2"/>
        <w:keepNext/>
        <w:spacing w:before="100" w:after="80"/>
      </w:pPr>
      <w:r>
        <w:rPr>
          <w:rFonts w:ascii="Times New Roman" w:hAnsi="Times New Roman" w:eastAsia="Times New Roman" w:cs="Times New Roman"/>
          <w:b/>
          <w:color w:val="1F4E79"/>
          <w:sz w:val="23"/>
        </w:rPr>
        <w:t>4.1 Phase 1: simulation development</w:t>
      </w:r>
    </w:p>
    <w:p>
      <w:pPr>
        <w:pStyle w:val="Heading3"/>
        <w:keepNext/>
        <w:spacing w:before="100" w:after="80"/>
      </w:pPr>
      <w:r>
        <w:rPr>
          <w:rFonts w:ascii="Times New Roman" w:hAnsi="Times New Roman" w:eastAsia="Times New Roman" w:cs="Times New Roman"/>
          <w:sz w:val="21"/>
        </w:rPr>
        <w:t>4.1.1 Scene construction and parameter synchronization</w:t>
      </w:r>
    </w:p>
    <w:p>
      <w:pPr>
        <w:spacing w:line="276" w:lineRule="auto" w:after="100"/>
      </w:pPr>
      <w:r>
        <w:rPr>
          <w:rFonts w:ascii="Times New Roman" w:hAnsi="Times New Roman" w:eastAsia="Times New Roman" w:cs="Times New Roman"/>
          <w:b w:val="0"/>
          <w:color w:val="232323"/>
          <w:sz w:val="20"/>
        </w:rPr>
        <w:t>Scene construction followed four operations: load the models, generate detections, map detections to grid cells, and form an executable task plan. All four operations used the same object names, classes, and coordinates.</w:t>
      </w:r>
    </w:p>
    <w:p>
      <w:pPr>
        <w:spacing w:line="276" w:lineRule="auto" w:after="100"/>
      </w:pPr>
      <w:r>
        <w:rPr>
          <w:b/>
        </w:rPr>
        <w:t xml:space="preserve">Step 1 Load the scene: </w:t>
      </w:r>
      <w:r>
        <w:t>sorting_gazebo.launch.py loaded sorting_desktop.world and started the robot model, gripper controllers, sorting_scene_monitor, sorting_task, and sorting_executor. After startup, the team confirmed that only one Gazebo world was running and that the arm, table, three-row/two-column pickup area, three sorting bins, and six cylinders were at their configured positions.</w:t>
      </w:r>
    </w:p>
    <w:p>
      <w:pPr>
        <w:spacing w:line="276" w:lineRule="auto" w:after="100"/>
      </w:pPr>
      <w:r>
        <w:rPr>
          <w:b/>
        </w:rPr>
        <w:t xml:space="preserve">Step 2 Generate simulation detections: </w:t>
      </w:r>
      <w:r>
        <w:t>sorting_scene_monitor selected models whose names start with object_ from /gazebo/model_states, extracted red, blue, or green from each model name, and projected the world position into a 640×480 overhead image. Each synthetic detection used a 34×34-pixel box and score 0.99 in the sorting_camera_link frame and was published on /sorting_scene/detections.</w:t>
      </w:r>
    </w:p>
    <w:p>
      <w:pPr>
        <w:spacing w:line="276" w:lineRule="auto" w:after="100"/>
      </w:pPr>
      <w:r>
        <w:rPr>
          <w:b/>
        </w:rPr>
        <w:t xml:space="preserve">Step 3 Map the pickup grid: </w:t>
      </w:r>
      <w:r>
        <w:t>The task node compared each box center with pixel columns [212, 266, 320] and rows [186, 240, 294], then selected the nearest r1c1-r3c3 cell. The projection was u=320+(y_w-0.18)×900 and v=240-(x_w-0.30)×900. A nearest-cell distance above 48 pixels produced an outside grid record, and the object was excluded from execution.</w:t>
      </w:r>
    </w:p>
    <w:p>
      <w:pPr>
        <w:spacing w:line="276" w:lineRule="auto" w:after="100"/>
      </w:pPr>
      <w:r>
        <w:rPr>
          <w:b/>
        </w:rPr>
        <w:t xml:space="preserve">Step 4 Form the task plan: </w:t>
      </w:r>
      <w:r>
        <w:t>The node checked that a classification existed, confidence reached 0.80, the class was red, blue, or green, and the cell was not already occupied. A valid target received object_id, class, grid, destination, and status fields and was mapped to red_sort_bin, blue_sort_bin, or green_sort_bin. After publication, the state changed from detecting to plan_ready:n; execution mode locked the first complete plan so moved objects did not trigger a second plan.</w:t>
      </w:r>
    </w:p>
    <w:p>
      <w:pPr>
        <w:pStyle w:val="Heading3"/>
        <w:keepNext/>
        <w:spacing w:before="100" w:after="80"/>
      </w:pPr>
      <w:r>
        <w:rPr>
          <w:rFonts w:ascii="Times New Roman" w:hAnsi="Times New Roman" w:eastAsia="Times New Roman" w:cs="Times New Roman"/>
          <w:sz w:val="21"/>
        </w:rPr>
        <w:t>4.1.2 Manual teaching and single-object debugging</w:t>
      </w:r>
    </w:p>
    <w:p>
      <w:pPr>
        <w:spacing w:line="276" w:lineRule="auto" w:after="100"/>
      </w:pPr>
      <w:r>
        <w:rPr>
          <w:rFonts w:ascii="Times New Roman" w:hAnsi="Times New Roman" w:eastAsia="Times New Roman" w:cs="Times New Roman"/>
          <w:b w:val="0"/>
          <w:color w:val="232323"/>
          <w:sz w:val="20"/>
        </w:rPr>
        <w:t>Manual teaching first established a repeatable single-object grasp and then applied the same method to the six pickup positions and three sorting regions.</w:t>
      </w:r>
    </w:p>
    <w:p>
      <w:pPr>
        <w:spacing w:line="276" w:lineRule="auto" w:after="100"/>
      </w:pPr>
      <w:r>
        <w:rPr>
          <w:b/>
        </w:rPr>
        <w:t xml:space="preserve">Step 1 Establish the initial pose: </w:t>
      </w:r>
      <w:r>
        <w:t>The arm returned to initial or HOME with all six joints in a known pose and the gripper open. Joint feedback and controller status were checked before the arm moved toward the pickup area, preventing a descent from an unknown configuration.</w:t>
      </w:r>
    </w:p>
    <w:p>
      <w:pPr>
        <w:spacing w:line="276" w:lineRule="auto" w:after="100"/>
      </w:pPr>
      <w:r>
        <w:rPr>
          <w:b/>
        </w:rPr>
        <w:t xml:space="preserve">Step 2 Adjust the approach pose: </w:t>
      </w:r>
      <w:r>
        <w:t>An above or above_n waypoint placed the end effector over the target with room for vertical descent. Only one joint group was changed at a time while the GUI was used to compare the gripper center, finger direction, and cylinder center and to check clearance from the table and sorting bins.</w:t>
      </w:r>
    </w:p>
    <w:p>
      <w:pPr>
        <w:spacing w:line="276" w:lineRule="auto" w:after="100"/>
      </w:pPr>
      <w:r>
        <w:rPr>
          <w:b/>
        </w:rPr>
        <w:t xml:space="preserve">Step 3 Calibrate the grasp pose: </w:t>
      </w:r>
      <w:r>
        <w:t>The arm descended slowly from above to pick or pick_n. Before closure, the two fingers were checked on opposite sides of the target so that the pads did not press the top surface or strike a neighboring object. A short lift then confirmed that the target was held between the fingers.</w:t>
      </w:r>
    </w:p>
    <w:p>
      <w:pPr>
        <w:spacing w:line="276" w:lineRule="auto" w:after="100"/>
      </w:pPr>
      <w:r>
        <w:rPr>
          <w:b/>
        </w:rPr>
        <w:t xml:space="preserve">Step 4 Calibrate transfer and release: </w:t>
      </w:r>
      <w:r>
        <w:t>After grasp verification, lift, First, or another safe intermediate pose was recorded, followed by release_ready and release. release_ready kept the object above the sorting pad, while release used only the required vertical descent and gripper opening; horizontal travel remained at the safe height.</w:t>
      </w:r>
    </w:p>
    <w:p>
      <w:pPr>
        <w:spacing w:line="276" w:lineRule="auto" w:after="100"/>
      </w:pPr>
      <w:r>
        <w:rPr>
          <w:b/>
        </w:rPr>
        <w:t xml:space="preserve">Step 5 Save and replay: </w:t>
      </w:r>
      <w:r>
        <w:t>Each waypoint stored six joint values, the gripper command, pad command, and duration in manual_animation.json. The sequence above-pick-lift-release_ready-release-initial was replayed from initial, and the waypoint was added to the complete sequence only after the second run remained collision-free.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cs="Times New Roman"/>
          <w:sz w:val="18"/>
        </w:rPr>
        <w:t>Fig. 3  Manual control panel, six-joint adjustment, and semantic waypoint editing</w:t>
      </w:r>
    </w:p>
    <w:p>
      <w:pPr>
        <w:pStyle w:val="Heading3"/>
        <w:keepNext/>
        <w:spacing w:before="100" w:after="80"/>
      </w:pPr>
      <w:r>
        <w:rPr>
          <w:rFonts w:ascii="Times New Roman" w:hAnsi="Times New Roman" w:eastAsia="Times New Roman" w:cs="Times New Roman"/>
          <w:sz w:val="21"/>
        </w:rPr>
        <w:t>4.1.3 Automatic playback and one-command launch</w:t>
      </w:r>
    </w:p>
    <w:p>
      <w:pPr>
        <w:spacing w:line="276" w:lineRule="auto" w:after="100"/>
      </w:pPr>
      <w:r>
        <w:rPr>
          <w:rFonts w:ascii="Times New Roman" w:hAnsi="Times New Roman" w:eastAsia="Times New Roman" w:cs="Times New Roman"/>
          <w:b w:val="0"/>
          <w:color w:val="232323"/>
          <w:sz w:val="20"/>
        </w:rPr>
        <w:t>The automatic run combined the verified waypoints into a 34-step sequence for six targets and checked both configuration and runtime state before playback.</w:t>
      </w:r>
    </w:p>
    <w:p>
      <w:pPr>
        <w:spacing w:line="276" w:lineRule="auto" w:after="100"/>
      </w:pPr>
      <w:r>
        <w:rPr>
          <w:b/>
        </w:rPr>
        <w:t xml:space="preserve">Step 1 Validate the animation file: </w:t>
      </w:r>
      <w:r>
        <w:t>The player loaded manual_animation.json, verified that every name in sequence existed in waypoints, and checked that every waypoint contained six joint values. The file contains six initial-approach-pick-transfer-release subsequences and 34 steps; the recorded waypoint duration is 2.0 s.</w:t>
      </w:r>
    </w:p>
    <w:p>
      <w:pPr>
        <w:spacing w:line="276" w:lineRule="auto" w:after="100"/>
      </w:pPr>
      <w:r>
        <w:rPr>
          <w:b/>
        </w:rPr>
        <w:t xml:space="preserve">Step 2 Wait for controllers: </w:t>
      </w:r>
      <w:r>
        <w:t>The program checked that both the arm and gripper trajectory publishers had controller subscribers, using a 30 s timeout. Playback began only when both controllers were ready; otherwise, the run ended with controllers were not ready.</w:t>
      </w:r>
    </w:p>
    <w:p>
      <w:pPr>
        <w:spacing w:line="276" w:lineRule="auto" w:after="100"/>
      </w:pPr>
      <w:r>
        <w:rPr>
          <w:b/>
        </w:rPr>
        <w:t xml:space="preserve">Step 3 Reset six objects: </w:t>
      </w:r>
      <w:r>
        <w:t>At playback start, /gazebo/set_entity_state returned all six models to their recorded pickup-grid positions and cleared the used-object set, attachment offset, and release animation. This made repeated runs start from the same layout.</w:t>
      </w:r>
    </w:p>
    <w:p>
      <w:pPr>
        <w:spacing w:line="276" w:lineRule="auto" w:after="100"/>
      </w:pPr>
      <w:r>
        <w:rPr>
          <w:b/>
        </w:rPr>
        <w:t xml:space="preserve">Step 4 Send waypoints in order: </w:t>
      </w:r>
      <w:r>
        <w:t>The player published joint trajectories to full_arm_controller and full_gripper_controller in sequence and kept the default 0.25 s settling interval after each waypoint. Log lines used the form [current/34] name (duration), which linked the video frames to the action sequence.</w:t>
      </w:r>
    </w:p>
    <w:p>
      <w:pPr>
        <w:spacing w:line="276" w:lineRule="auto" w:after="100"/>
      </w:pPr>
      <w:r>
        <w:rPr>
          <w:b/>
        </w:rPr>
        <w:t xml:space="preserve">Step 5 Hold the green-target orientation: </w:t>
      </w:r>
      <w:r>
        <w:t>After above_green_1, joints 4 and 6 were held at zero through the green-object cycle so that shared First and initial waypoints did not reintroduce end-effector rotation. The green targets still used the same grasp, attachment, and release interface.</w:t>
      </w:r>
    </w:p>
    <w:p>
      <w:pPr>
        <w:spacing w:line="276" w:lineRule="auto" w:after="100"/>
      </w:pPr>
      <w:r>
        <w:rPr>
          <w:b/>
        </w:rPr>
        <w:t xml:space="preserve">Step 6 Finish and reset: </w:t>
      </w:r>
      <w:r>
        <w:t>After release_5, the final initial waypoint returned the arm to its starting posture and the player recorded automatic sequence playback completed. Missing waypoint names, invalid JSON, or unavailable controllers stopped the run before later commands were sent.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cs="Times New Roman"/>
          <w:sz w:val="18"/>
        </w:rPr>
        <w:t>Fig. 4  Six target subsequences and the 34-step automatic playback timing</w:t>
      </w:r>
    </w:p>
    <w:p>
      <w:pPr>
        <w:pStyle w:val="Heading3"/>
        <w:keepNext/>
        <w:spacing w:before="100" w:after="80"/>
      </w:pPr>
      <w:r>
        <w:rPr>
          <w:rFonts w:ascii="Times New Roman" w:hAnsi="Times New Roman" w:eastAsia="Times New Roman" w:cs="Times New Roman"/>
          <w:sz w:val="21"/>
        </w:rPr>
        <w:t>4.1.4 Grasping, transfer, and release</w:t>
      </w:r>
    </w:p>
    <w:p>
      <w:pPr>
        <w:spacing w:line="276" w:lineRule="auto" w:after="100"/>
      </w:pPr>
      <w:r>
        <w:rPr>
          <w:rFonts w:ascii="Times New Roman" w:hAnsi="Times New Roman" w:eastAsia="Times New Roman" w:cs="Times New Roman"/>
          <w:b w:val="0"/>
          <w:color w:val="232323"/>
          <w:sz w:val="20"/>
        </w:rPr>
        <w:t>One object progressed from reset to object_complete, and every state change was published on execution_state and written to the CSV log.</w:t>
      </w:r>
    </w:p>
    <w:p>
      <w:pPr>
        <w:spacing w:line="276" w:lineRule="auto" w:after="100"/>
      </w:pPr>
      <w:r>
        <w:rPr>
          <w:b/>
        </w:rPr>
        <w:t xml:space="preserve">Step 1 Select and reset the object: </w:t>
      </w:r>
      <w:r>
        <w:t>The executor read object_id, class, grid, and destination from the plan, selected the current item, and entered reset:object_id. The baseline executor placed the selected model at the validated canonical grasp point; the animation player instead selected the physical grid object through the fixed pick_n-to-object mapping.</w:t>
      </w:r>
    </w:p>
    <w:p>
      <w:pPr>
        <w:spacing w:line="276" w:lineRule="auto" w:after="100"/>
      </w:pPr>
      <w:r>
        <w:rPr>
          <w:b/>
        </w:rPr>
        <w:t xml:space="preserve">Step 2 Approach and descend: </w:t>
      </w:r>
      <w:r>
        <w:t>The arm moved first to pick_above and then to pick_down with the gripper open. The default state duration was 1.2 s. Descent and horizontal transfer were kept as separate states so the gripper did not travel across the table at pickup height.</w:t>
      </w:r>
    </w:p>
    <w:p>
      <w:pPr>
        <w:spacing w:line="276" w:lineRule="auto" w:after="100"/>
      </w:pPr>
      <w:r>
        <w:rPr>
          <w:b/>
        </w:rPr>
        <w:t xml:space="preserve">Step 3 Close and evaluate the grasp: </w:t>
      </w:r>
      <w:r>
        <w:t>At pick_grasp, the baseline executor changed the gripper command from 0.12 to -0.55; the animation player used the values recorded for each waypoint. The visual attachment routine evaluated distance at the finger-pad center and accepted the grasp only when the target was within 0.05 m. Larger error produced grasp rejected without attaching the model.</w:t>
      </w:r>
    </w:p>
    <w:p>
      <w:pPr>
        <w:spacing w:line="276" w:lineRule="auto" w:after="100"/>
      </w:pPr>
      <w:r>
        <w:rPr>
          <w:b/>
        </w:rPr>
        <w:t xml:space="preserve">Step 4 Maintain attachment and lift: </w:t>
      </w:r>
      <w:r>
        <w:t>A valid grasp generated grasp_attached and stored the target offset relative to the gripper. The target pose was updated at 20 Hz and kept upright instead of inheriting gripper rotation. The lift state then removed the target from the desktop before transfer.</w:t>
      </w:r>
    </w:p>
    <w:p>
      <w:pPr>
        <w:spacing w:line="276" w:lineRule="auto" w:after="100"/>
      </w:pPr>
      <w:r>
        <w:rPr>
          <w:b/>
        </w:rPr>
        <w:t xml:space="preserve">Step 5 Transfer to the sorting region: </w:t>
      </w:r>
      <w:r>
        <w:t>The arm passed through lift, First, or another safe intermediate waypoint before place_above or release_ready. The target class selected the sorting region, and a per-class counter assigned a different sub-drop point to each same-class object.</w:t>
      </w:r>
    </w:p>
    <w:p>
      <w:pPr>
        <w:spacing w:line="276" w:lineRule="auto" w:after="100"/>
      </w:pPr>
      <w:r>
        <w:rPr>
          <w:b/>
        </w:rPr>
        <w:t xml:space="preserve">Step 6 Release vertically: </w:t>
      </w:r>
      <w:r>
        <w:t>At place_down or release, the program retained the current X/Y coordinates and animated a 0.8 s downward motion along Z before removing attachment. The open gripper then moved to lift_clear or initial so the end effector left the placed object vertically.</w:t>
      </w:r>
    </w:p>
    <w:p>
      <w:pPr>
        <w:spacing w:line="276" w:lineRule="auto" w:after="100"/>
      </w:pPr>
      <w:r>
        <w:rPr>
          <w:b/>
        </w:rPr>
        <w:t xml:space="preserve">Step 7 Verify the drop point: </w:t>
      </w:r>
      <w:r>
        <w:t>The executor read the released model pose and computed XY error from the assigned target. A present model with XY error no greater than 0.07 m and height no greater than 0.20 m generated release and object_complete. Otherwise, the log recorded release pose outside destination and marked the item failed.</w:t>
      </w:r>
    </w:p>
    <w:p>
      <w:pPr>
        <w:spacing w:line="276" w:lineRule="auto" w:after="100"/>
      </w:pPr>
      <w:r>
        <w:rPr>
          <w:b/>
        </w:rPr>
        <w:t xml:space="preserve">Step 8 Continue to the next object: </w:t>
      </w:r>
      <w:r>
        <w:t>After completion or failure, the executor advanced to the next plan item. When the list ended, it counted passed results and published task_passed when at least five objects succeeded. The red-blue baseline ended with success_count=6 and count=6.</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cs="Times New Roman"/>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cs="Times New Roman"/>
          <w:sz w:val="18"/>
        </w:rPr>
        <w:t>Fig. 6  Alignment above the sorting bin, vertical release, and drop-point acceptance</w:t>
      </w:r>
    </w:p>
    <w:p>
      <w:pPr>
        <w:pStyle w:val="Heading3"/>
        <w:keepNext/>
        <w:spacing w:before="100" w:after="80"/>
      </w:pPr>
      <w:r>
        <w:rPr>
          <w:rFonts w:ascii="Times New Roman" w:hAnsi="Times New Roman" w:eastAsia="Times New Roman" w:cs="Times New Roman"/>
          <w:sz w:val="21"/>
        </w:rPr>
        <w:t>4.1.5 Simulation acceptance records</w:t>
      </w:r>
    </w:p>
    <w:p>
      <w:pPr>
        <w:spacing w:line="276" w:lineRule="auto" w:after="100"/>
      </w:pPr>
      <w:r>
        <w:rPr>
          <w:rFonts w:ascii="Times New Roman" w:hAnsi="Times New Roman" w:eastAsia="Times New Roman" w:cs="Times New Roman"/>
          <w:b w:val="0"/>
          <w:color w:val="232323"/>
          <w:sz w:val="20"/>
        </w:rPr>
        <w:t>Simulation acceptance combined the displayed motion with state, event, and final-pose records; gripper closure alone was not treated as a successful grasp.</w:t>
      </w:r>
    </w:p>
    <w:p>
      <w:pPr>
        <w:spacing w:line="276" w:lineRule="auto" w:after="100"/>
      </w:pPr>
      <w:r>
        <w:rPr>
          <w:b/>
        </w:rPr>
        <w:t xml:space="preserve">Step 1 Check the state chain: </w:t>
      </w:r>
      <w:r>
        <w:t>The /sorting_task/state and /sorting_task/execution_state topics were checked for detecting, plan_ready:n, move_pick_above, close_gripper, lift_object, release, verify_release, lift_clear, and task_passed in order. A missing or repeated state identified the stage at which execution stopped.</w:t>
      </w:r>
    </w:p>
    <w:p>
      <w:pPr>
        <w:spacing w:line="276" w:lineRule="auto" w:after="100"/>
      </w:pPr>
      <w:r>
        <w:rPr>
          <w:b/>
        </w:rPr>
        <w:t xml:space="preserve">Step 2 Check object events: </w:t>
      </w:r>
      <w:r>
        <w:t>For each object_id, mecharm_sorting_execution.csv was checked for motion_command, grasp_attached, release, and object_complete. Missing grasp_attached indicated that closure had not produced attachment; missing object_complete indicated that release verification or retreat had not completed.</w:t>
      </w:r>
    </w:p>
    <w:p>
      <w:pPr>
        <w:spacing w:line="276" w:lineRule="auto" w:after="100"/>
      </w:pPr>
      <w:r>
        <w:rPr>
          <w:b/>
        </w:rPr>
        <w:t xml:space="preserve">Step 3 Check the final result: </w:t>
      </w:r>
      <w:r>
        <w:t>The GUI confirmed that the object left the desktop during lift and entered the correct pad after release. The CSV class, grid, destination, and status fields confirmed that the visual result matched the task decision, while task_result summarized success_count and every object's final state.</w:t>
      </w:r>
    </w:p>
    <w:p>
      <w:pPr>
        <w:pStyle w:val="Heading2"/>
        <w:spacing w:line="276" w:lineRule="auto" w:after="100"/>
      </w:pPr>
      <w:r>
        <w:rPr>
          <w:rFonts w:ascii="Times New Roman" w:hAnsi="Times New Roman" w:eastAsia="Times New Roman" w:cs="Times New Roman"/>
          <w:sz w:val="23"/>
        </w:rPr>
        <w:t>4.2 Three-class detector and external-camera test</w:t>
      </w:r>
    </w:p>
    <w:p>
      <w:pPr>
        <w:spacing w:line="276" w:lineRule="auto" w:after="100"/>
      </w:pPr>
      <w:r>
        <w:rPr>
          <w:rFonts w:ascii="Times New Roman" w:hAnsi="Times New Roman" w:eastAsia="Times New Roman" w:cs="Times New Roman"/>
          <w:b w:val="0"/>
          <w:color w:val="232323"/>
          <w:sz w:val="20"/>
        </w:rPr>
        <w:t>The three-class detector followed data collection, annotation, splitting, training, and camera retesting, with eraser, lock, and stapler kept as fixed class names.</w:t>
      </w:r>
    </w:p>
    <w:p>
      <w:pPr>
        <w:spacing w:line="276" w:lineRule="auto" w:after="100"/>
      </w:pPr>
      <w:r>
        <w:rPr>
          <w:b/>
        </w:rPr>
        <w:t xml:space="preserve">Step 1 Collect source images: </w:t>
      </w:r>
      <w:r>
        <w:t>The external camera recorded individual erasers, locks, and staplers and multiple objects in one frame under changes in grid position, orientation, and lighting. Different eraser appearances were included, and locks and staplers were photographed together to preserve direct examples of the most easily confused classes.</w:t>
      </w:r>
    </w:p>
    <w:p>
      <w:pPr>
        <w:spacing w:line="276" w:lineRule="auto" w:after="100"/>
      </w:pPr>
      <w:r>
        <w:rPr>
          <w:b/>
        </w:rPr>
        <w:t xml:space="preserve">Step 2 Annotate each object: </w:t>
      </w:r>
      <w:r>
        <w:t>labelImg was used to draw a bounding box close to each visible outline and assign eraser, lock, or stapler. The labels were reviewed for missed objects, spelling differences, and boxes extending outside the image before training.</w:t>
      </w:r>
    </w:p>
    <w:p>
      <w:pPr>
        <w:spacing w:line="276" w:lineRule="auto" w:after="100"/>
      </w:pPr>
      <w:r>
        <w:rPr>
          <w:b/>
        </w:rPr>
        <w:t xml:space="preserve">Step 3 Split training and validation data: </w:t>
      </w:r>
      <w:r>
        <w:t>Validation images were selected independently from the original captures and were not augmented. During training, mosaic composition, hue perturbation, random scaling, and random erasing changed the training views while the validation set remained a fixed comparison.</w:t>
      </w:r>
    </w:p>
    <w:p>
      <w:pPr>
        <w:spacing w:line="276" w:lineRule="auto" w:after="100"/>
      </w:pPr>
      <w:r>
        <w:rPr>
          <w:rFonts w:ascii="Times New Roman" w:hAnsi="Times New Roman" w:eastAsia="Times New Roman" w:cs="Times New Roman"/>
          <w:b w:val="0"/>
          <w:color w:val="232323"/>
          <w:sz w:val="20"/>
        </w:rPr>
        <w:t>Training used YOLOv8n with a 640-pixel input, 60 epochs, batch size 16, and an RTX 4070 Laptop GPU.</w:t>
      </w:r>
    </w:p>
    <w:p>
      <w:pPr>
        <w:spacing w:line="276" w:lineRule="auto" w:after="100"/>
      </w:pPr>
      <w:r>
        <w:rPr>
          <w:b/>
        </w:rPr>
        <w:t xml:space="preserve">Step 4 Run training: </w:t>
      </w:r>
      <w:r>
        <w:t>Losses and validation metrics were recorded for each epoch, and the best-performing validation weight was retained. The final best weight is 6.25 MB with approximately three million parameters, which is small enough for the external-camera runtime.</w:t>
      </w:r>
    </w:p>
    <w:p>
      <w:pPr>
        <w:spacing w:line="276" w:lineRule="auto" w:after="100"/>
      </w:pPr>
      <w:r>
        <w:rPr>
          <w:b/>
        </w:rPr>
        <w:t xml:space="preserve">Step 5 Read validation metrics: </w:t>
      </w:r>
      <w:r>
        <w:t>Precision, recall, mAP50, and mAP50-95 were read for the complete validation set and for each class. The final record contains precision=1.0, recall=1.0, and mAP50=mAP50-95=0.995 overall and per class; these values refer only to the independent validation set.</w:t>
      </w:r>
    </w:p>
    <w:p>
      <w:pPr>
        <w:spacing w:line="276" w:lineRule="auto" w:after="100"/>
      </w:pPr>
      <w:r>
        <w:rPr>
          <w:rFonts w:ascii="Times New Roman" w:hAnsi="Times New Roman" w:eastAsia="Times New Roman" w:cs="Times New Roman"/>
          <w:sz w:val="20"/>
        </w:rPr>
        <w:t>Model iteration used specific camera-test errors as the input to each change, followed by another comparison of validation metrics and live frames.</w:t>
      </w:r>
    </w:p>
    <w:p>
      <w:pPr>
        <w:spacing w:line="276" w:lineRule="auto" w:after="100"/>
      </w:pPr>
      <w:r>
        <w:rPr>
          <w:b/>
        </w:rPr>
        <w:t xml:space="preserve">Step 6 Correct class confusion: </w:t>
      </w:r>
      <w:r>
        <w:t>Lock-stapler confusion was addressed with same-frame samples and balanced sampling. Stapler-eraser confusion at specific views led to a stronger classification-loss contribution and targeted captures of those angles. When added data reduced performance on early images, their sampling weight was increased. Overall mAP50-95 rose from 0.938 to 0.995.</w:t>
      </w:r>
    </w:p>
    <w:p>
      <w:pPr>
        <w:spacing w:line="276" w:lineRule="auto" w:after="100"/>
      </w:pPr>
      <w:r>
        <w:rPr>
          <w:b/>
        </w:rPr>
        <w:t xml:space="preserve">Step 7 Retest with the external camera: </w:t>
      </w:r>
      <w:r>
        <w:t>The best weight was loaded for live inference, and class names, boxes, confidence, and FPS were drawn on the original frame. Under the two grid arrangements in Fig. 7, all three object classes were localized, confidence ranged from 0.84 to 0.95, and the displayed rate was 31.7-32.0 FPS.</w:t>
      </w:r>
    </w:p>
    <w:p>
      <w:pPr>
        <w:spacing w:line="276" w:lineRule="auto" w:after="100"/>
      </w:pPr>
      <w:r>
        <w:rPr>
          <w:b/>
        </w:rPr>
        <w:t xml:space="preserve">Step 8 Separate inference time from display rate: </w:t>
      </w:r>
      <w:r>
        <w:t>The recorded 1.1 ms value is model inference time for one image. The displayed FPS also includes camera capture, image conversion, annotation drawing, and window refresh. The report therefore keeps these two measurements separate instead of converting 1.1 ms directly into the camera-frame rate.</w:t>
      </w:r>
    </w:p>
    <w:p>
      <w:pPr>
        <w:spacing w:line="276" w:lineRule="auto" w:after="100"/>
      </w:pPr>
      <w:r>
        <w:rPr>
          <w:rFonts w:ascii="Times New Roman" w:hAnsi="Times New Roman" w:eastAsia="Times New Roman" w:cs="Times New Roman"/>
          <w:sz w:val="20"/>
        </w:rPr>
        <w:t>The external-camera test establishes detection performance for erasers, locks, and staplers. During hardware acceptance, the class labels were aligned with the sorting regions and the camera pixels were calibrated to the desktop grid. The model weight, camera frames, and acceptance videos are stored in the repository.</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rFonts w:ascii="Times New Roman" w:hAnsi="Times New Roman" w:eastAsia="Times New Roman" w:cs="Times New Roman"/>
          <w:sz w:val="18"/>
        </w:rPr>
        <w:t>Fig. 7  Three-class detection under two grid arrangements (left: arrangement 1; right: arrangement 2)</w:t>
      </w:r>
    </w:p>
    <w:p>
      <w:pPr>
        <w:pStyle w:val="Heading2"/>
        <w:keepNext/>
        <w:spacing w:before="100" w:after="80"/>
      </w:pPr>
      <w:r>
        <w:rPr>
          <w:rFonts w:ascii="Times New Roman" w:hAnsi="Times New Roman" w:eastAsia="Times New Roman" w:cs="Times New Roman"/>
          <w:sz w:val="23"/>
        </w:rPr>
        <w:t>4.3 Hardware deployment, motion demonstration, and acceptance results</w:t>
      </w:r>
    </w:p>
    <w:p>
      <w:pPr/>
      <w:r>
        <w:rPr>
          <w:rFonts w:ascii="Times New Roman" w:hAnsi="Times New Roman" w:eastAsia="Times New Roman" w:cs="Times New Roman"/>
          <w:sz w:val="20"/>
        </w:rPr>
        <w:t>Hardware acceptance began with a low-speed single-target test on the blue-tape desktop grid and then extended to six objects in two classes. The arm approached a small yellow lock from above, descended vertically until the fingers were on opposite sides, closed the gripper, and lifted the target. Figure 8 shows the frame at 01:22, including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rPr>
          <w:rFonts w:ascii="Times New Roman" w:hAnsi="Times New Roman" w:eastAsia="Times New Roman" w:cs="Times New Roman"/>
          <w:sz w:val="18"/>
        </w:rPr>
        <w:t>Fig. 8  Physical-arm demonstration: a small lock held above the desktop grid (video at 01:22)</w:t>
      </w:r>
    </w:p>
    <w:p>
      <w:pPr/>
      <w:r>
        <w:rPr>
          <w:rFonts w:ascii="Times New Roman" w:hAnsi="Times New Roman" w:eastAsia="Times New Roman" w:cs="Times New Roman"/>
          <w:sz w:val="20"/>
        </w:rPr>
        <w:t>Hardware acceptance is documented by two recordings. The recognition-and-correction video shows six objects in two classes being identified and the task continuing after correction; the grasp video records the physical approach, gripper closure, and lift. The recordings agree with the acceptance checklist, and the hardware acceptance result is Pass.</w:t>
      </w:r>
    </w:p>
    <w:p>
      <w:pPr>
        <w:pStyle w:val="Heading3"/>
        <w:keepNext/>
        <w:spacing w:before="100" w:after="80"/>
      </w:pPr>
      <w:r>
        <w:rPr>
          <w:rFonts w:ascii="Times New Roman" w:hAnsi="Times New Roman" w:eastAsia="Times New Roman" w:cs="Times New Roman"/>
          <w:sz w:val="21"/>
        </w:rPr>
        <w:t>4.3.1 Hardware deployment and calibration</w:t>
      </w:r>
    </w:p>
    <w:p>
      <w:pPr>
        <w:spacing w:line="276" w:lineRule="auto" w:after="100"/>
      </w:pPr>
      <w:r>
        <w:rPr>
          <w:rFonts w:ascii="Times New Roman" w:hAnsi="Times New Roman" w:eastAsia="Times New Roman" w:cs="Times New Roman"/>
          <w:sz w:val="20"/>
        </w:rPr>
        <w:t>Hardware deployment fixed the perception coordinate system first, established robot waypoints at low speed, and then connected the perception, task, and execution nodes.</w:t>
      </w:r>
    </w:p>
    <w:p>
      <w:pPr>
        <w:spacing w:line="276" w:lineRule="auto" w:after="100"/>
      </w:pPr>
      <w:r>
        <w:rPr>
          <w:b/>
        </w:rPr>
        <w:t xml:space="preserve">Step 1 Fix the hardware and field of view: </w:t>
      </w:r>
      <w:r>
        <w:t>The overhead RGB camera was mounted so the blue-tape pickup cells and sorting areas remained fully visible. After mounting, the camera position was kept unchanged and the image was checked for exposure, occlusion, and visible grid boundaries under the acceptance lighting.</w:t>
      </w:r>
    </w:p>
    <w:p>
      <w:pPr>
        <w:spacing w:line="276" w:lineRule="auto" w:after="100"/>
      </w:pPr>
      <w:r>
        <w:rPr>
          <w:b/>
        </w:rPr>
        <w:t xml:space="preserve">Step 2 Establish pixel-to-desktop mapping: </w:t>
      </w:r>
      <w:r>
        <w:t>A calibration board supplied corresponding image and desktop points for the homography. Grid intersections not used in the solution were checked to confirm that left, right, upper, and lower image directions matched the robot's desktop coordinate directions.</w:t>
      </w:r>
    </w:p>
    <w:p>
      <w:pPr>
        <w:spacing w:line="276" w:lineRule="auto" w:after="100"/>
      </w:pPr>
      <w:r>
        <w:rPr>
          <w:b/>
        </w:rPr>
        <w:t xml:space="preserve">Step 3 Teach robot waypoints at low speed: </w:t>
      </w:r>
      <w:r>
        <w:t>HOME was recorded first, followed by PICK1-PICK6 and each class-specific PLACE. Every PICK point was checked for approach from above, vertical descent, finger placement, and lift clearance; every PLACE point was checked for sorting-area center, release height, and retreat direction.</w:t>
      </w:r>
    </w:p>
    <w:p>
      <w:pPr>
        <w:spacing w:line="276" w:lineRule="auto" w:after="100"/>
      </w:pPr>
      <w:r>
        <w:rPr>
          <w:b/>
        </w:rPr>
        <w:t xml:space="preserve">Step 4 Record safety parameters: </w:t>
      </w:r>
      <w:r>
        <w:t>Approach height, gripper opening, release wait time, safe speed, and emergency-stop distance were stored with the waypoint configuration. A waypoint entered the multi-object test only after its single-point motion completed without collision.</w:t>
      </w:r>
    </w:p>
    <w:p>
      <w:pPr>
        <w:pStyle w:val="Heading3"/>
        <w:keepNext/>
        <w:spacing w:before="100" w:after="80"/>
      </w:pPr>
      <w:r>
        <w:rPr>
          <w:rFonts w:ascii="Times New Roman" w:hAnsi="Times New Roman" w:eastAsia="Times New Roman" w:cs="Times New Roman"/>
          <w:sz w:val="21"/>
        </w:rPr>
        <w:t>4.3.2 Detection node and task interface</w:t>
      </w:r>
    </w:p>
    <w:p>
      <w:pPr>
        <w:spacing w:line="276" w:lineRule="auto" w:after="100"/>
      </w:pPr>
      <w:r>
        <w:rPr>
          <w:rFonts w:ascii="Times New Roman" w:hAnsi="Times New Roman" w:eastAsia="Times New Roman" w:cs="Times New Roman"/>
          <w:sz w:val="20"/>
        </w:rPr>
        <w:t>The hardware interface reused the simulation Detection2DArray fields, so the task node did not depend on whether detections came from Gazebo or the external camera.</w:t>
      </w:r>
    </w:p>
    <w:p>
      <w:pPr>
        <w:spacing w:line="276" w:lineRule="auto" w:after="100"/>
      </w:pPr>
      <w:r>
        <w:rPr>
          <w:b/>
        </w:rPr>
        <w:t xml:space="preserve">Step 1 Publish detections: </w:t>
      </w:r>
      <w:r>
        <w:t>For each camera frame, the detector produced eraser, lock, or stapler, a bounding-box center, and confidence, then published them in Detection2DArray. The task node consumed the message instead of reading the display window, keeping perception and task logic separate.</w:t>
      </w:r>
    </w:p>
    <w:p>
      <w:pPr>
        <w:spacing w:line="276" w:lineRule="auto" w:after="100"/>
      </w:pPr>
      <w:r>
        <w:rPr>
          <w:b/>
        </w:rPr>
        <w:t xml:space="preserve">Step 2 Map classes and grid cells: </w:t>
      </w:r>
      <w:r>
        <w:t>The trained class map was checked against the physical sorting regions. Each box center was transformed to the desktop by the homography and assigned to PICK1-PICK6. Class, grid_id, and target region were written together in the task record rather than selected manually from the video.</w:t>
      </w:r>
    </w:p>
    <w:p>
      <w:pPr>
        <w:spacing w:line="276" w:lineRule="auto" w:after="100"/>
      </w:pPr>
      <w:r>
        <w:rPr>
          <w:b/>
        </w:rPr>
        <w:t xml:space="preserve">Step 3 Execute and read feedback: </w:t>
      </w:r>
      <w:r>
        <w:t>After the task node locked a target, it called the corresponding PICK and PLACE poses. The execution node ran approach, descent, grasp, lift, transfer, release, and retreat and returned a state at each stage. A recognition or execution deviation entered the correction path, where the target was confirmed again before the task continued.</w:t>
      </w:r>
    </w:p>
    <w:p>
      <w:pPr>
        <w:pStyle w:val="Heading3"/>
        <w:keepNext/>
        <w:spacing w:before="100" w:after="80"/>
      </w:pPr>
      <w:r>
        <w:rPr>
          <w:rFonts w:ascii="Times New Roman" w:hAnsi="Times New Roman" w:eastAsia="Times New Roman" w:cs="Times New Roman"/>
          <w:sz w:val="21"/>
        </w:rPr>
        <w:t>4.3.3 Acceptance sequence from one target to six targets</w:t>
      </w:r>
    </w:p>
    <w:p>
      <w:pPr>
        <w:spacing w:line="276" w:lineRule="auto" w:after="100"/>
      </w:pPr>
      <w:r>
        <w:rPr>
          <w:rFonts w:ascii="Times New Roman" w:hAnsi="Times New Roman" w:eastAsia="Times New Roman" w:cs="Times New Roman"/>
          <w:b w:val="0"/>
          <w:color w:val="232323"/>
          <w:sz w:val="20"/>
        </w:rPr>
        <w:t>Hardware acceptance increased target count and task complexity only after the preceding stage passed.</w:t>
      </w:r>
    </w:p>
    <w:p>
      <w:pPr>
        <w:spacing w:line="276" w:lineRule="auto" w:after="100"/>
      </w:pPr>
      <w:r>
        <w:rPr>
          <w:b/>
        </w:rPr>
        <w:t xml:space="preserve">Step 1 Check one target: </w:t>
      </w:r>
      <w:r>
        <w:t>A small lock was placed in one pickup cell. Its box and class were checked before a low-speed PICK. The arm approached vertically, placed the fingers on opposite sides, closed, and lifted; at 01:22 in the video, the lock is visibly above the desktop. The corresponding PLACE and retreat completed the cycle.</w:t>
      </w:r>
    </w:p>
    <w:p>
      <w:pPr>
        <w:spacing w:line="276" w:lineRule="auto" w:after="100"/>
      </w:pPr>
      <w:r>
        <w:rPr>
          <w:b/>
        </w:rPr>
        <w:t xml:space="preserve">Step 2 Add the second class: </w:t>
      </w:r>
      <w:r>
        <w:t>A second object class was added without changing the verified waypoints. The team checked the class-to-region mapping and confirmed that task switching did not reuse the previous object's grid_id or PLACE pose.</w:t>
      </w:r>
    </w:p>
    <w:p>
      <w:pPr>
        <w:spacing w:line="276" w:lineRule="auto" w:after="100"/>
      </w:pPr>
      <w:r>
        <w:rPr>
          <w:b/>
        </w:rPr>
        <w:t xml:space="preserve">Step 3 Run six objects in two classes: </w:t>
      </w:r>
      <w:r>
        <w:t>Six objects were placed in the taped grid and the perception, task, and execution flow was started. The system locked one target at a time and assigned its pickup cell and sorting region. The recognition-and-correction video records all six detections and task continuation after a deviation was corrected.</w:t>
      </w:r>
    </w:p>
    <w:p>
      <w:pPr>
        <w:spacing w:line="276" w:lineRule="auto" w:after="100"/>
      </w:pPr>
      <w:r>
        <w:rPr>
          <w:b/>
        </w:rPr>
        <w:t xml:space="preserve">Step 4 Save object-level results: </w:t>
      </w:r>
      <w:r>
        <w:t>Each object record contains run_id, object_id, true and predicted classes, confidence, grid_id, target region, grasp result, placement result, exception code, and timestamp. The Pass entry in the checklist is supported by both the videos and these records.</w:t>
      </w:r>
    </w:p>
    <w:p>
      <w:pPr>
        <w:spacing w:line="276" w:lineRule="auto" w:after="100"/>
      </w:pPr>
      <w:r>
        <w:rPr>
          <w:b/>
        </w:rPr>
        <w:t xml:space="preserve">Step 5 Exercise exception branches: </w:t>
      </w:r>
      <w:r>
        <w:t>Empty cells, missed detections, grasp failure, and unreachable targets were checked separately. An invalid target did not enter the normal grasp queue; the system recorded its exception code and either returned safely or continued with another target. The hardware video retains the correction sequence for recognition or execution deviations.</w:t>
      </w:r>
    </w:p>
    <w:p>
      <w:pPr>
        <w:pStyle w:val="Heading3"/>
        <w:keepNext/>
        <w:spacing w:before="100" w:after="80"/>
      </w:pPr>
      <w:r>
        <w:rPr>
          <w:rFonts w:ascii="Times New Roman" w:hAnsi="Times New Roman" w:eastAsia="Times New Roman" w:cs="Times New Roman"/>
          <w:sz w:val="21"/>
        </w:rP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Detection2DArray, task record, and correction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Hardware execution record and grasp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Run video and logs;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codes, ERROR_LOG, and correction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 checklist;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output and startup log; 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5 Problem analysis and discussion</w:t>
      </w:r>
    </w:p>
    <w:p>
      <w:pPr>
        <w:pStyle w:val="Heading2"/>
        <w:keepNext/>
        <w:spacing w:before="100" w:after="80"/>
      </w:pPr>
      <w:r>
        <w:rPr>
          <w:rFonts w:ascii="Times New Roman" w:hAnsi="Times New Roman" w:eastAsia="Times New Roman" w:cs="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Changed the logger call to an f-string; continuous state publishing resumed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Only two targets entered the task sequence</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Updated rows to 186/240/294 and assigned unique grid_id values; the six-target retest passed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Added distance checks, attachment, and following; grasp_attached and target lift were verified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Adjusted model parameters, vertical release, and sub-drop points; the retest showed no scattering or overlap</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Cleared residual processes; the clean one-master retest passed</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Fixed exposure and lighting; confidence and multi-frame checks stabilized the boxes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Computed the homography and recorded pixel error and version; the mapping retest passed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Calibrated approach height, opening, closure speed, and lift wait; the grasp retest passed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Monitored connection state; fault handling returned HOME or triggered the emergency stop</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Completed low-speed single-target, second-class, and six-object tests in sequence</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5.3 System scope and limitations</w:t>
      </w:r>
    </w:p>
    <w:p>
      <w:pPr>
        <w:spacing w:line="276" w:lineRule="auto" w:after="100"/>
      </w:pPr>
      <w:r>
        <w:rPr>
          <w:rFonts w:ascii="Times New Roman" w:hAnsi="Times New Roman" w:eastAsia="Times New Roman" w:cs="Times New Roman"/>
          <w:b w:val="0"/>
          <w:color w:val="232323"/>
          <w:sz w:val="20"/>
        </w:rPr>
        <w:t>The current grid scheme uses a fixed desktop and pre-calibrated poses and is suitable for this acceptance task. Grasping objects at arbitrary positions involves continuous coordinate estimation and inverse-kinematics planning and is outside the acceptance scope. Simulation detections are deterministic because they are generated from model states, and the grasp stage uses gripper closure, distance checks, and logical attachment for repeatability. For hardware acceptance, visual error, gripper opening, approach height, release wait time, and safe speed were calibrated on the physical system.</w:t>
      </w:r>
    </w:p>
    <w:p>
      <w:pPr>
        <w:spacing w:line="276" w:lineRule="auto" w:after="100"/>
      </w:pPr>
      <w:r>
        <w:rPr>
          <w:rFonts w:ascii="Times New Roman" w:hAnsi="Times New Roman" w:eastAsia="Times New Roman" w:cs="Times New Roman"/>
          <w:b w:val="0"/>
          <w:color w:val="232323"/>
          <w:sz w:val="20"/>
        </w:rPr>
        <w:t>The current system implements Detection2DArray messages, state feedback, object-level result records, and safe exception return. Multi-frame debouncing, run IDs, log rotation, object-occupancy states, dynamic-obstacle checks, and emergency-stop fallback were not included in the acceptance scope.</w:t>
      </w:r>
    </w:p>
    <w:p>
      <w:pPr>
        <w:pStyle w:val="Heading1"/>
        <w:keepNext/>
        <w:spacing w:before="180" w:after="80"/>
      </w:pPr>
      <w:r>
        <w:rPr>
          <w:rFonts w:ascii="Times New Roman" w:hAnsi="Times New Roman" w:eastAsia="Times New Roman" w:cs="Times New Roman"/>
          <w:b/>
          <w:color w:val="1F4E79"/>
          <w:sz w:val="30"/>
        </w:rPr>
        <w:t>6 Experimental results and acceptance evidence</w:t>
      </w:r>
    </w:p>
    <w:p>
      <w:pPr>
        <w:pStyle w:val="Heading2"/>
        <w:keepNext/>
        <w:spacing w:before="100" w:after="80"/>
      </w:pPr>
      <w:r>
        <w:rPr>
          <w:rFonts w:ascii="Times New Roman" w:hAnsi="Times New Roman" w:eastAsia="Times New Roman" w:cs="Times New Roman"/>
          <w:sz w:val="23"/>
        </w:rPr>
        <w:t>6.1 Quantitative red–blue baseline with six objects</w:t>
      </w:r>
    </w:p>
    <w:p>
      <w:pPr>
        <w:spacing w:line="276" w:lineRule="auto" w:after="100"/>
      </w:pPr>
      <w:r>
        <w:rPr>
          <w:rFonts w:ascii="Times New Roman" w:hAnsi="Times New Roman" w:eastAsia="Times New Roman" w:cs="Times New Roman"/>
          <w:b w:val="0"/>
          <w:color w:val="232323"/>
          <w:sz w:val="20"/>
        </w:rPr>
        <w:t>The object-level logs for the six red and blue objects contain the assigned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cs="Times New Roman"/>
          <w:sz w:val="23"/>
        </w:rPr>
        <w:t>6.2 Three-class extension</w:t>
      </w:r>
    </w:p>
    <w:p>
      <w:pPr>
        <w:spacing w:line="276" w:lineRule="auto" w:after="100"/>
      </w:pPr>
      <w:r>
        <w:rPr>
          <w:rFonts w:ascii="Times New Roman" w:hAnsi="Times New Roman" w:eastAsia="Times New Roman" w:cs="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acceptance evidence contains no independent three-class CSV; therefore, this section reports scene and interface validation without an object-level success rate.</w:t>
      </w:r>
    </w:p>
    <w:p>
      <w:pPr>
        <w:pStyle w:val="Heading2"/>
      </w:pPr>
      <w:r>
        <w:rPr>
          <w:rFonts w:ascii="Times New Roman" w:hAnsi="Times New Roman" w:eastAsia="Times New Roman" w:cs="Times New Roman"/>
          <w:sz w:val="23"/>
        </w:rPr>
        <w:t>6.3 Three-class detector evaluation</w:t>
      </w:r>
    </w:p>
    <w:p>
      <w:pPr/>
      <w:r>
        <w:rPr>
          <w:rFonts w:ascii="Times New Roman" w:hAnsi="Times New Roman" w:eastAsia="Times New Roman" w:cs="Times New Roman"/>
          <w:sz w:val="20"/>
        </w:rPr>
        <w:t>The independent validation record reports overall and per-class mAP50=0.995 and mAP50-95=0.995, with precision=1.0 and recall=1.0. The two external-camera views in Fig. 7 further demonstrate detection of erasers, a lock, and a stapler when grid positions and object arrangements change. Confidence ranges from 0.84 to 0.95, and the displayed rates are 31.7 FPS and 32.0 FPS. This evidence evaluates external-camera visual detection; the system-level recognition and correction process is verified by the physical test video in Section 6.4.</w:t>
      </w:r>
    </w:p>
    <w:p>
      <w:pPr>
        <w:pStyle w:val="Heading2"/>
      </w:pPr>
      <w:r>
        <w:rPr>
          <w:rFonts w:ascii="Times New Roman" w:hAnsi="Times New Roman" w:eastAsia="Times New Roman" w:cs="Times New Roman"/>
          <w:sz w:val="23"/>
        </w:rPr>
        <w:t>6.4 Recognition, correction, and physical-arm results</w:t>
      </w:r>
    </w:p>
    <w:p>
      <w:pPr/>
      <w:r>
        <w:rPr>
          <w:rFonts w:ascii="Times New Roman" w:hAnsi="Times New Roman" w:eastAsia="Times New Roman" w:cs="Times New Roman"/>
          <w:sz w:val="20"/>
        </w:rPr>
        <w:t>Hardware acceptance is recorded in two videos. A 1 min 11 s recording shows correct recognition of six objects in two classes and documents the correction process, target confirmation, and task continuation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Times New Roman" w:cs="Times New Roman"/>
          <w:sz w:val="20"/>
        </w:rPr>
        <w:t>The recordings verify target recognition, correction handling, and the physical approach, grasp, and lift. Their recognition output, correction sequence, and robot motion agree with the acceptance record; the real-robot acceptance item for six objects in two classes is Pass.</w:t>
      </w:r>
    </w:p>
    <w:p>
      <w:pPr>
        <w:pStyle w:val="Heading2"/>
        <w:keepNext/>
        <w:spacing w:before="100" w:after="80"/>
      </w:pPr>
      <w:r>
        <w:rPr>
          <w:rFonts w:ascii="Times New Roman" w:hAnsi="Times New Roman" w:eastAsia="Times New Roman" w:cs="Times New Roman"/>
          <w:sz w:val="23"/>
        </w:rPr>
        <w:t>6.5 Multi-layer evidence chain</w:t>
      </w:r>
    </w:p>
    <w:p>
      <w:pPr>
        <w:spacing w:line="276" w:lineRule="auto" w:after="100"/>
      </w:pPr>
      <w:r>
        <w:rPr>
          <w:rFonts w:ascii="Times New Roman" w:hAnsi="Times New Roman" w:eastAsia="Times New Roman" w:cs="Times New Roman"/>
          <w:b w:val="0"/>
          <w:color w:val="232323"/>
          <w:sz w:val="20"/>
        </w:rPr>
        <w:t>The GUI shows the geometric relationship between the gripper and target, stage states identify the current action, event logs record grasp and release triggers, final model poses show the bin drop point, and the object-level CSV summarizes each target's state and exception code.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cs="Times New Roman"/>
          <w:sz w:val="18"/>
        </w:rPr>
        <w:t>Fig. 9  GUI, state, event, pose, and object-level CSV form the acceptance evidence chain</w:t>
      </w:r>
    </w:p>
    <w:p>
      <w:pPr>
        <w:pStyle w:val="Heading1"/>
        <w:keepNext/>
        <w:spacing w:before="180" w:after="80"/>
      </w:pPr>
      <w:r>
        <w:rPr>
          <w:rFonts w:ascii="Times New Roman" w:hAnsi="Times New Roman" w:eastAsia="Times New Roman" w:cs="Times New Roman"/>
          <w:b/>
          <w:color w:val="1F4E79"/>
          <w:sz w:val="30"/>
        </w:rPr>
        <w:t>7 Group responsibilities</w:t>
      </w:r>
    </w:p>
    <w:p>
      <w:pPr>
        <w:spacing w:line="276" w:lineRule="auto" w:after="100"/>
      </w:pPr>
      <w:r>
        <w:rPr>
          <w:rFonts w:ascii="Times New Roman" w:hAnsi="Times New Roman" w:eastAsia="Times New Roman" w:cs="Times New Roman"/>
          <w:sz w:val="20"/>
        </w:rPr>
        <w:t>The group divided the work into camera-model training, Gazebo scene and synthetic-detection setup, task decisions, robot execution, and integration testing. The camera test and Gazebo sorting run retain separate evidence in detection frames and object-level records, while their message interface, class mapping, and execution flow were integrated during hardware acceptance.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 2 Launch, execution interface, real-robot deployment and acceptance,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8 Conclusions and submitted materials</w:t>
      </w:r>
    </w:p>
    <w:p>
      <w:pPr>
        <w:pStyle w:val="Heading2"/>
        <w:keepNext/>
        <w:spacing w:before="100" w:after="80"/>
      </w:pPr>
      <w:r>
        <w:rPr>
          <w:rFonts w:ascii="Times New Roman" w:hAnsi="Times New Roman" w:eastAsia="Times New Roman" w:cs="Times New Roman"/>
          <w:b/>
          <w:color w:val="1F4E79"/>
          <w:sz w:val="23"/>
        </w:rPr>
        <w:t>8.1 Conclusions</w:t>
      </w:r>
    </w:p>
    <w:p>
      <w:pPr>
        <w:spacing w:line="276" w:lineRule="auto" w:after="100"/>
      </w:pPr>
      <w:r>
        <w:rPr>
          <w:rFonts w:ascii="Times New Roman" w:hAnsi="Times New Roman" w:eastAsia="Times New Roman" w:cs="Times New Roman"/>
          <w:sz w:val="20"/>
        </w:rP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cs="Times New Roman"/>
          <w:b w:val="0"/>
          <w:color w:val="232323"/>
          <w:sz w:val="20"/>
        </w:rPr>
        <w:t>Hardware validation completed camera calibration, Detection2DArray publishing, class mapping, low-speed single-target testing, the six-object two-class run, and correction testing. The hardware acceptance item is Pass. The reported acceptance result applies to the stated scene, grid, and parameter configuration and is not extrapolated to untested conditions.</w:t>
      </w:r>
    </w:p>
    <w:p>
      <w:pPr>
        <w:pStyle w:val="Heading2"/>
        <w:keepNext/>
        <w:spacing w:before="100" w:after="80"/>
      </w:pPr>
      <w:r>
        <w:rPr>
          <w:rFonts w:ascii="Times New Roman" w:hAnsi="Times New Roman" w:eastAsia="Times New Roman" w:cs="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8.3 GitHub synchronization record</w:t>
      </w:r>
    </w:p>
    <w:p>
      <w:pPr>
        <w:spacing w:after="100" w:line="276" w:lineRule="auto"/>
      </w:pPr>
      <w:r>
        <w:rPr>
          <w:rFonts w:ascii="Times New Roman" w:hAnsi="Times New Roman" w:eastAsia="Times New Roman" w:cs="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0" w:after="0"/>
        <w:jc w:val="center"/>
      </w:pPr>
      <w:r>
        <w:drawing>
          <wp:inline xmlns:a="http://schemas.openxmlformats.org/drawingml/2006/main" xmlns:pic="http://schemas.openxmlformats.org/drawingml/2006/picture">
            <wp:extent cx="2971800" cy="1581111"/>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971800" cy="1581111"/>
                    </a:xfrm>
                    <a:prstGeom prst="rect"/>
                  </pic:spPr>
                </pic:pic>
              </a:graphicData>
            </a:graphic>
          </wp:inline>
        </w:drawing>
      </w:r>
    </w:p>
    <w:p>
      <w:pPr>
        <w:keepNext w:val="0"/>
        <w:keepLines/>
        <w:spacing w:before="0" w:after="0" w:line="276" w:lineRule="auto"/>
        <w:jc w:val="center"/>
      </w:pPr>
      <w:r>
        <w:rPr>
          <w:rFonts w:ascii="Times New Roman" w:hAnsi="Times New Roman" w:eastAsia="Times New Roman" w:cs="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646464"/>
        <w:sz w:val="17"/>
      </w:rPr>
      <w:t>ROBOTICS INTEGRATION GROUP PROJECT  ·  GROUP 17</w:t>
    </w:r>
    <w:r>
      <w:rPr>
        <w:rFonts w:ascii="Times New Roman" w:hAnsi="Times New Roman" w:eastAsia="Times New Roman" w:cs="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cs="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s="Times New Roman"/>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eastAsia="Georgia" w:cs="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Times New Roman" w:hAnsi="Times New Roman" w:eastAsia="Times New Roman" w:cs="Times New Roman"/>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