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432" w:hRule="atLeast"/>
          <w:tblHeader w:val="true"/>
        </w:trPr>
        <w:tc>
          <w:tcPr>
            <w:tcW w:type="dxa" w:w="7703"/>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ROBOTICS INTEGRATION GROUP PROJECT</w:t>
            </w:r>
          </w:p>
        </w:tc>
        <w:tc>
          <w:tcPr>
            <w:tcW w:type="dxa" w:w="1584"/>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Desktop Object Automatic Sorting and Organization</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Group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432" w:hRule="atLeast"/>
          <w:tblHeader w:val="true"/>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Course</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color w:val="232323"/>
                <w:sz w:val="18"/>
              </w:rPr>
              <w:t>Robotics Integration Group Project I</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Group</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Group 17: Yang Muqing, Lan Songyu, Zhang Kairui, and Zhao Hang</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Report topic</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Simulation development, sorting, and real-robot validation plan</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jc w:val="center"/>
      </w:pPr>
      <w:r>
        <w:rPr>
          <w:rFonts w:ascii="Times New Roman" w:hAnsi="Times New Roman" w:eastAsia="Times New Roman"/>
          <w:b w:val="0"/>
          <w:color w:val="232323"/>
          <w:sz w:val="20"/>
        </w:rPr>
        <w:t>GitHub: https://github.com/9161942-boop/robotics-experiment-3</w:t>
      </w:r>
      <w:r>
        <w:rPr>
          <w:rFonts w:ascii="Times New Roman" w:hAnsi="Times New Roman" w:eastAsia="Times New Roman"/>
          <w:b w:val="0"/>
          <w:color w:val="232323"/>
          <w:sz w:val="20"/>
        </w:rPr>
        <w:br w:type="page"/>
      </w:r>
    </w:p>
    <w:p>
      <w:pPr>
        <w:pStyle w:val="Heading1"/>
        <w:keepNext/>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Times New Roman"/>
          <w:b w:val="0"/>
          <w:color w:val="232323"/>
          <w:sz w:val="20"/>
        </w:rPr>
        <w:t>This experiment develops an automatic desktop object sorting system using ROS 2, Gazebo, and the mechArm 270. The system forms a complete perception–localization–decision–execution–acceptance loop: an overhead camera publishes the desktop image, a detection node outputs class labels, confidence scores, and bounding boxes, and the task node maps box centers to a fixed picking grid and generates an execution queue with target-bin information. The robot then performs grasping, transfer, release, and result logging through a state machine.</w:t>
      </w:r>
    </w:p>
    <w:p>
      <w:pPr>
        <w:spacing w:line="276" w:lineRule="auto" w:after="100"/>
      </w:pPr>
      <w:r>
        <w:rPr>
          <w:rFonts w:ascii="Times New Roman" w:hAnsi="Times New Roman" w:eastAsia="Times New Roman"/>
          <w:b w:val="0"/>
          <w:color w:val="232323"/>
          <w:sz w:val="20"/>
        </w:rPr>
        <w:t>The system first uses six red and blue cylinders for quantitative simulation acceptance; the archived object-level record is 6/6. The scene is then extended to red, blue, and green objects to verify the added class, sorting region, waypoint sequence, and automatic playback interface. This report is organized into simulation development and real-robot validation phases, with quantitative results, process evidence, and the fields required for later real-robot acceptance listed separately.</w:t>
      </w:r>
    </w:p>
    <w:p>
      <w:pPr>
        <w:spacing w:line="276" w:lineRule="auto" w:after="100"/>
      </w:pPr>
      <w:r>
        <w:rPr>
          <w:rFonts w:ascii="Times New Roman" w:hAnsi="Times New Roman" w:eastAsia="Times New Roman"/>
          <w:b w:val="0"/>
          <w:color w:val="232323"/>
          <w:sz w:val="20"/>
        </w:rPr>
        <w:t>Conclusion: the simulation phase completed the standard image interface, fixed-grid localization, class-to-bin mapping, grasp-and-release state machine, exception branches, and object-level logging. The red–blue baseline reached 6/6, the three-class extension completed scene and automatic-sequence integration, and the real-robot phase now has an implementable deployment and acceptance plan.</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t>The system consists of a perception layer, a task-decision layer, and a robot-execution layer. The perception layer first acquires an image; the visual detector outputs a class, bounding box, and confidence, which are then packaged as Detection2DArray. The decision layer performs confidence filtering, grid localization, class mapping, queue ordering, and exception branching. The execution layer controls the arm and gripper to approach, close, lift, transfer, release, and report results. The acceptance layer reads the GUI, stage states, event logs, final poses, and object-level CSV to form traceable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Three-layer system architecture and object-level result loop</w:t>
      </w:r>
    </w:p>
    <w:p>
      <w:pPr>
        <w:pStyle w:val="Heading2"/>
      </w:pPr>
      <w:r>
        <w:t>2.2 Visual Detection and Message Interface</w:t>
      </w:r>
    </w:p>
    <w:p>
      <w:pPr>
        <w:spacing w:line="276" w:lineRule="auto" w:after="100"/>
      </w:pPr>
      <w:r>
        <w:t>The visual detector outputs a class, bounding-box center, and confidence, which enter the task node through Detection2DArray. The simulation monitor generates deterministic detections under the same contract, so the grid and task-control logic can be validated in Gazebo before the real camera and trained detector are connected to the same interface.</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Connect to the preceding YOLOv8 class model and output class, confidence, and bounding box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Reference record: Precision 0.658, Recall 0.748, mAP@0.5 0.766, about 15 FPS; re-record on hardware</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2"/>
        <w:spacing w:line="276" w:lineRule="auto" w:after="100"/>
      </w:pPr>
      <w:r>
        <w:t>4.1.1 Visual Detection Model Training and External-Camera Validation</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Times New Roman"/>
          <w:b w:val="0"/>
          <w:color w:val="232323"/>
          <w:sz w:val="20"/>
        </w:rPr>
        <w:t>For simulation, the monitor continues to generate deterministic Detection2DArray messages from Gazebo model states so that the task and execution interfaces remain repeatable. The trained weight is archived separately in models/ for real-camera integration and hardware validation.</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3  External-camera detection of erasers, a lock, and a stapler</w:t>
      </w:r>
    </w:p>
    <w:p>
      <w:pPr>
        <w:pStyle w:val="Heading3"/>
        <w:keepNext/>
        <w:spacing w:before="100" w:after="80"/>
      </w:pPr>
      <w:r>
        <w:t>4.1.2 Scene construction and parameter synchronization</w:t>
      </w:r>
    </w:p>
    <w:p>
      <w:pPr>
        <w:spacing w:line="276" w:lineRule="auto" w:after="100"/>
      </w:pPr>
      <w:r>
        <w:rPr>
          <w:rFonts w:ascii="Times New Roman" w:hAnsi="Times New Roman" w:eastAsia="Times New Roman"/>
          <w:b w:val="0"/>
          <w:color w:val="232323"/>
          <w:sz w:val="20"/>
        </w:rPr>
        <w:t>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t>4.1.3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4  Manual control panel, six-joint adjustment, and semantic waypoint editing</w:t>
      </w:r>
    </w:p>
    <w:p>
      <w:pPr>
        <w:pStyle w:val="Heading3"/>
        <w:keepNext/>
        <w:spacing w:before="100" w:after="80"/>
      </w:pPr>
      <w:r>
        <w:t>4.1.4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5  Six target subsequences and the 34-step automatic playback timing</w:t>
      </w:r>
    </w:p>
    <w:p>
      <w:pPr>
        <w:pStyle w:val="Heading3"/>
        <w:keepNext/>
        <w:spacing w:before="100" w:after="80"/>
      </w:pPr>
      <w:r>
        <w:t>4.1.5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6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7  Alignment above the sorting bin, vertical release, and drop-point acceptance</w:t>
      </w:r>
    </w:p>
    <w:p>
      <w:pPr>
        <w:pStyle w:val="Heading3"/>
        <w:keepNext/>
        <w:spacing w:before="100" w:after="80"/>
      </w:pPr>
      <w:r>
        <w:t>4.1.6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keepNext/>
        <w:spacing w:before="100" w:after="80"/>
      </w:pPr>
      <w:r>
        <w:rPr>
          <w:rFonts w:ascii="Times New Roman" w:hAnsi="Times New Roman" w:eastAsia="Times New Roman"/>
          <w:b/>
          <w:color w:val="1F4E79"/>
          <w:sz w:val="23"/>
        </w:rPr>
        <w:t>4.2 Phase 2: real-robot validation</w:t>
      </w:r>
    </w:p>
    <w:p>
      <w:pPr>
        <w:pStyle w:val="Heading3"/>
        <w:keepNext/>
        <w:spacing w:before="100" w:after="80"/>
      </w:pPr>
      <w:r>
        <w:rPr>
          <w:rFonts w:ascii="Times New Roman" w:hAnsi="Times New Roman" w:eastAsia="Times New Roman"/>
          <w:b/>
          <w:color w:val="1F4E79"/>
          <w:sz w:val="21"/>
        </w:rPr>
        <w:t>4.2.1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rPr>
          <w:rFonts w:ascii="Times New Roman" w:hAnsi="Times New Roman" w:eastAsia="Times New Roman"/>
          <w:b/>
          <w:color w:val="1F4E79"/>
          <w:sz w:val="21"/>
        </w:rPr>
        <w:t>4.2.2 Detection node and task interface</w:t>
      </w:r>
    </w:p>
    <w:p>
      <w:pPr>
        <w:spacing w:line="276" w:lineRule="auto" w:after="100"/>
      </w:pPr>
      <w:r>
        <w:rPr>
          <w:rFonts w:ascii="Times New Roman" w:hAnsi="Times New Roman" w:eastAsia="Times New Roman"/>
          <w:b w:val="0"/>
          <w:color w:val="232323"/>
          <w:sz w:val="20"/>
        </w:rPr>
        <w:t>The YOLOv8 node outputs class labels, confidence scores, and bounding boxes, with message fields consistent with the simulation Detection2DArray. The task node continues to perform confidence filtering, grid mapping, class selection, and exception branching, while the executor replaces simulation control calls with mechArm hardware-control calls.</w:t>
      </w:r>
    </w:p>
    <w:p>
      <w:pPr>
        <w:pStyle w:val="Heading3"/>
        <w:keepNext/>
        <w:spacing w:before="100" w:after="80"/>
      </w:pPr>
      <w:r>
        <w:rPr>
          <w:rFonts w:ascii="Times New Roman" w:hAnsi="Times New Roman" w:eastAsia="Times New Roman"/>
          <w:b/>
          <w:color w:val="1F4E79"/>
          <w:sz w:val="21"/>
        </w:rPr>
        <w:t>4.2.3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b/>
          <w:color w:val="1F4E79"/>
          <w:sz w:val="21"/>
        </w:rPr>
        <w:t>4.2.4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pPr>
      <w:r>
        <w:t>6.1 Visual Detection and Interface Validation</w:t>
      </w:r>
    </w:p>
    <w:p>
      <w:pPr/>
      <w:r>
        <w:t>On the independent original-image validation set, the overall result and all three classes reached mAP50=0.995 and mAP50-95=0.995, with precision=1.0 and recall=1.0. The external-camera frame in Fig. 3 shows all three classes with confidence values of 0.89–0.94 and a displayed rate of 31.2 FPS. This verifies that the detector output can enter the Detection2DArray interface; it is kept separate from the deterministic Gazebo sorting result and does not represent a real-robot grasping score.</w:t>
      </w:r>
    </w:p>
    <w:p>
      <w:pPr>
        <w:pStyle w:val="Heading2"/>
        <w:keepNext/>
        <w:spacing w:before="100" w:after="80"/>
      </w:pPr>
      <w:r>
        <w:t>6.2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t>6.3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keepNext/>
        <w:spacing w:before="100" w:after="80"/>
      </w:pPr>
      <w:r>
        <w:t>6.4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8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Times New Roman"/>
          <w:b w:val="0"/>
          <w:color w:val="232323"/>
          <w:sz w:val="20"/>
        </w:rPr>
        <w:t>The group divided the work into perception interfaces, task decisions, robot execution, and system integration. All members integrated their modules under one Launch file, one message-field convention, and one object-level result table.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Group collaboration</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Times New Roman"/>
          <w:b w:val="0"/>
          <w:color w:val="232323"/>
          <w:sz w:val="20"/>
        </w:rPr>
        <w:t>Experiment 3 extends the fixed-point transfer of Experiment 2 into a desktop organization task that can detect, localize, classify, execute, and record. The system integrates the ROS 2 image and detection interfaces, fixed-grid localization, class-to-bin mapping, the grasp-execution state machine, exception branches, and object-level logs. The six-object red–blue simulation baseline reaches 6/6, and the red–blue–green scene together with the 34-step automatic demonstration is complete.</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spacing w:line="276" w:lineRule="auto" w:after="100"/>
      </w:pPr>
      <w:r>
        <w:rPr>
          <w:rFonts w:ascii="Times New Roman" w:hAnsi="Times New Roman" w:eastAsia="Times New Roman"/>
          <w:b w:val="0"/>
          <w:color w:val="232323"/>
          <w:sz w:val="20"/>
        </w:rPr>
        <w:br w:type="page"/>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