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机器人学集成小组项目Ⅰ  /  第 17 组</w:t>
      </w:r>
    </w:p>
    <w:p>
      <w:pPr>
        <w:spacing w:before="0" w:after="160" w:line="252" w:lineRule="auto"/>
        <w:jc w:val="left"/>
      </w:pPr>
      <w:r>
        <w:rPr>
          <w:rFonts w:ascii="Times New Roman" w:hAnsi="Times New Roman" w:eastAsia="Microsoft YaHei"/>
          <w:b/>
          <w:color w:val="107B7E"/>
          <w:sz w:val="22"/>
        </w:rPr>
        <w:t>实验三</w:t>
      </w:r>
    </w:p>
    <w:p>
      <w:pPr>
        <w:pStyle w:val="Title"/>
        <w:spacing w:before="0" w:after="180" w:line="252" w:lineRule="auto"/>
        <w:jc w:val="left"/>
      </w:pPr>
      <w:r>
        <w:rPr>
          <w:rFonts w:ascii="Microsoft YaHei" w:hAnsi="Microsoft YaHei" w:eastAsia="Microsoft YaHei"/>
          <w:b/>
          <w:color w:val="1B3E5B"/>
          <w:sz w:val="56"/>
        </w:rPr>
        <w:t>桌面物体自动分类整理</w:t>
      </w:r>
    </w:p>
    <w:p>
      <w:pPr>
        <w:spacing w:before="0" w:after="380" w:line="252" w:lineRule="auto"/>
        <w:jc w:val="left"/>
      </w:pPr>
      <w:r>
        <w:rPr>
          <w:rFonts w:ascii="Times New Roman" w:hAnsi="Times New Roman" w:eastAsia="Microsoft YaHei"/>
          <w:b/>
          <w:color w:val="4B5560"/>
          <w:sz w:val="22"/>
        </w:rPr>
        <w:t>小组实验报告</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56"/>
        <w:gridCol w:w="3156"/>
        <w:gridCol w:w="3156"/>
      </w:tblGrid>
      <w:tr>
        <w:tc>
          <w:tcPr>
            <w:tcW w:type="dxa" w:w="2995"/>
            <w:vAlign w:val="center"/>
            <w:shd w:fill="EDF5F8"/>
          </w:tcPr>
          <w:p>
            <w:pPr>
              <w:spacing w:before="100" w:after="20"/>
              <w:jc w:val="center"/>
            </w:pPr>
            <w:r>
              <w:rPr>
                <w:rFonts w:ascii="Times New Roman" w:hAnsi="Times New Roman" w:eastAsia="Microsoft YaHei"/>
                <w:b/>
                <w:color w:val="1B3E5B"/>
                <w:sz w:val="18"/>
              </w:rPr>
              <w:t>Gazebo 分拣</w:t>
            </w:r>
          </w:p>
          <w:p>
            <w:pPr>
              <w:spacing w:after="100"/>
              <w:jc w:val="center"/>
            </w:pPr>
            <w:r>
              <w:rPr>
                <w:rFonts w:ascii="Times New Roman" w:hAnsi="Times New Roman" w:eastAsia="Microsoft YaHei"/>
                <w:b w:val="0"/>
                <w:color w:val="4B5560"/>
                <w:sz w:val="16"/>
              </w:rPr>
              <w:t>红蓝六目标  6/6</w:t>
            </w:r>
          </w:p>
        </w:tc>
        <w:tc>
          <w:tcPr>
            <w:tcW w:type="dxa" w:w="2995"/>
            <w:vAlign w:val="center"/>
            <w:shd w:fill="EDF5F8"/>
          </w:tcPr>
          <w:p>
            <w:pPr>
              <w:spacing w:before="100" w:after="20"/>
              <w:jc w:val="center"/>
            </w:pPr>
            <w:r>
              <w:rPr>
                <w:rFonts w:ascii="Times New Roman" w:hAnsi="Times New Roman" w:eastAsia="Microsoft YaHei"/>
                <w:b/>
                <w:color w:val="1B3E5B"/>
                <w:sz w:val="18"/>
              </w:rPr>
              <w:t>摄像头检测</w:t>
            </w:r>
          </w:p>
          <w:p>
            <w:pPr>
              <w:spacing w:after="100"/>
              <w:jc w:val="center"/>
            </w:pPr>
            <w:r>
              <w:rPr>
                <w:rFonts w:ascii="Times New Roman" w:hAnsi="Times New Roman" w:eastAsia="Microsoft YaHei"/>
                <w:b w:val="0"/>
                <w:color w:val="4B5560"/>
                <w:sz w:val="16"/>
              </w:rPr>
              <w:t>橡皮  ·  锁  ·  订书机</w:t>
            </w:r>
          </w:p>
        </w:tc>
        <w:tc>
          <w:tcPr>
            <w:tcW w:type="dxa" w:w="2995"/>
            <w:vAlign w:val="center"/>
            <w:shd w:fill="EDF5F8"/>
          </w:tcPr>
          <w:p>
            <w:pPr>
              <w:spacing w:before="100" w:after="20"/>
              <w:jc w:val="center"/>
            </w:pPr>
            <w:r>
              <w:rPr>
                <w:rFonts w:ascii="Times New Roman" w:hAnsi="Times New Roman" w:eastAsia="Microsoft YaHei"/>
                <w:b/>
                <w:color w:val="1B3E5B"/>
                <w:sz w:val="18"/>
              </w:rPr>
              <w:t>下一阶段</w:t>
            </w:r>
          </w:p>
          <w:p>
            <w:pPr>
              <w:spacing w:after="100"/>
              <w:jc w:val="center"/>
            </w:pPr>
            <w:r>
              <w:rPr>
                <w:rFonts w:ascii="Times New Roman" w:hAnsi="Times New Roman" w:eastAsia="Microsoft YaHei"/>
                <w:b w:val="0"/>
                <w:color w:val="4B5560"/>
                <w:sz w:val="16"/>
              </w:rPr>
              <w:t>真机集成验证</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机械臂、六个取物格与三个分类区域的 Gazebo 场景</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34"/>
        <w:gridCol w:w="4734"/>
      </w:tblGrid>
      <w:tr>
        <w:tc>
          <w:tcPr>
            <w:tcW w:type="dxa" w:w="1440"/>
            <w:vAlign w:val="center"/>
          </w:tcPr>
          <w:p>
            <w:pPr>
              <w:spacing w:before="80" w:after="80"/>
            </w:pPr>
            <w:r>
              <w:rPr>
                <w:rFonts w:ascii="Times New Roman" w:hAnsi="Times New Roman" w:eastAsia="Microsoft YaHei"/>
                <w:b/>
                <w:color w:val="107B7E"/>
                <w:sz w:val="18"/>
              </w:rPr>
              <w:t>课程</w:t>
            </w:r>
          </w:p>
        </w:tc>
        <w:tc>
          <w:tcPr>
            <w:tcW w:type="dxa" w:w="7560"/>
            <w:vAlign w:val="center"/>
          </w:tcPr>
          <w:p>
            <w:pPr>
              <w:spacing w:before="80" w:after="80"/>
            </w:pPr>
            <w:r>
              <w:rPr>
                <w:rFonts w:ascii="Times New Roman" w:hAnsi="Times New Roman" w:eastAsia="Microsoft YaHei"/>
                <w:b w:val="0"/>
                <w:color w:val="1B3E5B"/>
                <w:sz w:val="18"/>
              </w:rPr>
              <w:t>机器人学集成小组项目Ⅰ</w:t>
            </w:r>
          </w:p>
        </w:tc>
      </w:tr>
      <w:tr>
        <w:tc>
          <w:tcPr>
            <w:tcW w:type="dxa" w:w="1440"/>
            <w:vAlign w:val="center"/>
          </w:tcPr>
          <w:p>
            <w:pPr>
              <w:spacing w:before="80" w:after="80"/>
            </w:pPr>
            <w:r>
              <w:rPr>
                <w:rFonts w:ascii="Times New Roman" w:hAnsi="Times New Roman" w:eastAsia="Microsoft YaHei"/>
                <w:b/>
                <w:color w:val="107B7E"/>
                <w:sz w:val="18"/>
              </w:rPr>
              <w:t>小组</w:t>
            </w:r>
          </w:p>
        </w:tc>
        <w:tc>
          <w:tcPr>
            <w:tcW w:type="dxa" w:w="7560"/>
            <w:vAlign w:val="center"/>
          </w:tcPr>
          <w:p>
            <w:pPr>
              <w:spacing w:before="80" w:after="80"/>
            </w:pPr>
            <w:r>
              <w:rPr>
                <w:rFonts w:ascii="Times New Roman" w:hAnsi="Times New Roman" w:eastAsia="Microsoft YaHei"/>
                <w:b w:val="0"/>
                <w:color w:val="1B3E5B"/>
                <w:sz w:val="18"/>
              </w:rPr>
              <w:t>第 17 组  ·  杨牧青、兰松宇、张凯睿、赵航</w:t>
            </w:r>
          </w:p>
        </w:tc>
      </w:tr>
    </w:tbl>
    <w:p>
      <w:pPr>
        <w:spacing w:before="320" w:after="80" w:line="252" w:lineRule="auto"/>
        <w:jc w:val="left"/>
      </w:pPr>
      <w:r>
        <w:rPr>
          <w:rFonts w:ascii="Times New Roman" w:hAnsi="Times New Roman" w:eastAsia="Microsoft YaHei"/>
          <w:b/>
          <w:color w:val="107B7E"/>
          <w:sz w:val="17"/>
        </w:rPr>
        <w:t>项目仓库</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2026 年 9 月</w:t>
      </w:r>
    </w:p>
    <w:p>
      <w:pPr>
        <w:pStyle w:val="Heading1"/>
        <w:pageBreakBefore/>
      </w:pPr>
      <w:r>
        <w:rPr>
          <w:rFonts w:ascii="Times New Roman" w:hAnsi="Times New Roman" w:eastAsia="Times New Roman"/>
          <w:b/>
          <w:color w:val="1F4E79"/>
          <w:sz w:val="30"/>
        </w:rPr>
        <w:t>摘要</w:t>
      </w:r>
    </w:p>
    <w:p>
      <w:pPr>
        <w:spacing w:line="276" w:lineRule="auto" w:after="100"/>
      </w:pPr>
      <w:r>
        <w:rPr>
          <w:rFonts w:ascii="Times New Roman" w:hAnsi="Times New Roman" w:eastAsia="SimSun"/>
          <w:sz w:val="20"/>
        </w:rPr>
        <w:t>本实验面向桌面物体自动分类整理，围绕感知、网格定位、类别决策和机械臂执行搭建 ROS 2 系统。Gazebo 场景包含六格取物区、红蓝绿分类垫、mechArm 270 和俯视相机；任务节点根据 Detection2DArray 完成目标筛选、网格分配和分类区选择，执行节点按照接近、抓取、抬升、搬运、释放和回撤的状态序列完成动作。</w:t>
      </w:r>
    </w:p>
    <w:p>
      <w:pPr>
        <w:spacing w:line="276" w:lineRule="auto" w:after="100"/>
      </w:pPr>
      <w:r>
        <w:rPr>
          <w:rFonts w:ascii="Times New Roman" w:hAnsi="Times New Roman" w:eastAsia="SimSun"/>
          <w:sz w:val="20"/>
        </w:rPr>
        <w:t>红蓝两类六目标仿真基线完成 6/6，对象级记录包含网格、目标分类垫、抓取、释放和最终状态；红蓝绿扩展场景完成分类垫对齐、绿色目标航点和 34 步自动播放。外接摄像头上的 YOLOv8n 模型实现橡皮、锁和订书机检测，验证记录为 mAP50=0.995、mAP50-95=0.995，实测画面达到 31.2 FPS。</w:t>
      </w:r>
    </w:p>
    <w:p>
      <w:pPr>
        <w:spacing w:line="276" w:lineRule="auto" w:after="100"/>
      </w:pPr>
      <w:r>
        <w:rPr>
          <w:rFonts w:ascii="Times New Roman" w:hAnsi="Times New Roman" w:eastAsia="SimSun"/>
          <w:sz w:val="20"/>
        </w:rPr>
        <w:t>在实体机械臂验证中，小组完成了桌面网格上的目标接近、夹持和抬升，并通过 1 分 11 秒实机视频验证两类六物体的正确识别与纠错机制。系统同时保留统一 Launch、状态反馈、异常记录、运行视频和对象级 CSV，使场景配置、动作过程和实验结果能够相互对应。</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完成真机部署、两类六物体识别与纠错验收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实机识别与纠错视频、真机验收表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1"/>
        <w:pageBreakBefore/>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rPr>
          <w:rFonts w:ascii="Times New Roman" w:hAnsi="Times New Roman" w:eastAsia="SimSun"/>
          <w:sz w:val="20"/>
        </w:rPr>
        <w:t>图 1 分别表示两条已验证路径。Gazebo 场景监视节点读取彩色圆柱模型状态，生成 Detection2DArray 格式的仿真检测消息；任务节点根据消息完成网格分配、分类区选择和机械臂控制。外接 RGB 摄像头配合 YOLOv8n 检测橡皮、锁和订书机。统一消息格式是后续连接点；要让真实摄像头驱动分拣，还需完成物体类别映射和像素到取物网格的标定。</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Gazebo 分拣与外接摄像头检测的两条验证路径</w:t>
      </w:r>
    </w:p>
    <w:p>
      <w:pPr>
        <w:pStyle w:val="Heading2"/>
      </w:pPr>
      <w:r>
        <w:t>2.2 视觉检测与消息接口</w:t>
      </w:r>
    </w:p>
    <w:p>
      <w:pPr>
        <w:spacing w:line="276" w:lineRule="auto" w:after="100"/>
      </w:pPr>
      <w:r>
        <w:rPr>
          <w:rFonts w:ascii="Times New Roman" w:hAnsi="Times New Roman" w:eastAsia="SimSun"/>
          <w:sz w:val="20"/>
        </w:rPr>
        <w:t>任务节点接收 Detection2DArray 中的类别、检测框和置信度。已归档的 Gazebo 分拣由 sorting_scene_monitor 根据仿真模型状态生成这些字段；另行训练的 YOLOv8n 通过外接摄像头测试。模型的橡皮、锁、订书机类别用于实体物体分拣时，需重新配置类别到料盒的对应关系。</w:t>
      </w:r>
    </w:p>
    <w:p>
      <w:pPr>
        <w:pStyle w:val="Heading2"/>
      </w:pPr>
      <w:r>
        <w:t>2.3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t>2.4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2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SimSun"/>
                <w:sz w:val="18"/>
              </w:rPr>
              <w:t>完成标定与类别配置后，将橡皮、锁、订书机的检测结果发布到 ROS</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SimSun"/>
                <w:sz w:val="18"/>
              </w:rPr>
              <w:t>待摄像头驱动的真机实验测量</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3"/>
      </w:pPr>
      <w:r>
        <w:t>4.1.1 场景搭建与参数同步</w:t>
      </w:r>
    </w:p>
    <w:p>
      <w:pPr>
        <w:spacing w:line="276" w:lineRule="auto" w:after="100"/>
      </w:pPr>
      <w:r>
        <w:rPr>
          <w:rFonts w:ascii="Times New Roman" w:hAnsi="Times New Roman" w:eastAsia="Times New Roman"/>
          <w:b w:val="0"/>
          <w:color w:val="232323"/>
          <w:sz w:val="20"/>
        </w:rPr>
        <w:t>本阶段由场景监视节点为彩色圆柱生成仿真检测消息。在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t>4.1.2 手动示教与单目标调试</w:t>
      </w:r>
    </w:p>
    <w:p>
      <w:pPr>
        <w:spacing w:line="276" w:lineRule="auto" w:after="100"/>
      </w:pPr>
      <w:r>
        <w:rPr>
          <w:rFonts w:ascii="Times New Roman" w:hAnsi="Times New Roman" w:eastAsia="Times New Roman"/>
          <w:b w:val="0"/>
          <w:color w:val="232323"/>
          <w:sz w:val="20"/>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3  手动控制台、六关节调节与语义航点编辑</w:t>
      </w:r>
    </w:p>
    <w:p>
      <w:pPr>
        <w:pStyle w:val="Heading3"/>
      </w:pPr>
      <w:r>
        <w:t>4.1.3 自动播放与一键启动</w:t>
      </w:r>
    </w:p>
    <w:p>
      <w:pPr>
        <w:spacing w:line="276" w:lineRule="auto" w:after="100"/>
      </w:pPr>
      <w:r>
        <w:rPr>
          <w:rFonts w:ascii="Times New Roman" w:hAnsi="Times New Roman" w:eastAsia="Times New Roman"/>
          <w:b w:val="0"/>
          <w:color w:val="232323"/>
          <w:sz w:val="20"/>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4  六个目标子序列与 34 步自动播放节拍</w:t>
      </w:r>
    </w:p>
    <w:p>
      <w:pPr>
        <w:pStyle w:val="Heading3"/>
      </w:pPr>
      <w:r>
        <w:t>4.1.4 抓取、搬运与释放</w:t>
      </w:r>
    </w:p>
    <w:p>
      <w:pPr>
        <w:spacing w:line="276" w:lineRule="auto" w:after="100"/>
      </w:pPr>
      <w:r>
        <w:rPr>
          <w:rFonts w:ascii="Times New Roman" w:hAnsi="Times New Roman" w:eastAsia="Times New Roman"/>
          <w:b w:val="0"/>
          <w:color w:val="232323"/>
          <w:sz w:val="20"/>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5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6  分类垫上方对齐、垂直释放与落点验收</w:t>
      </w:r>
    </w:p>
    <w:p>
      <w:pPr>
        <w:pStyle w:val="Heading3"/>
      </w:pPr>
      <w:r>
        <w:t>4.1.5 仿真验收记录</w:t>
      </w:r>
    </w:p>
    <w:p>
      <w:pPr>
        <w:spacing w:line="276" w:lineRule="auto" w:after="100"/>
      </w:pPr>
      <w:r>
        <w:rPr>
          <w:rFonts w:ascii="Times New Roman" w:hAnsi="Times New Roman" w:eastAsia="Times New Roman"/>
          <w:b w:val="0"/>
          <w:color w:val="232323"/>
          <w:sz w:val="20"/>
        </w:rPr>
        <w:t>任务执行过程保存 state、execution_state、execution_result、事件日志、最终位姿和对象级 CSV。验收同时查看 GUI 画面和结果文件，确认目标确实离开桌面、进入相应分类区并达到落点条件。</w:t>
      </w:r>
    </w:p>
    <w:p>
      <w:pPr>
        <w:pStyle w:val="Heading2"/>
        <w:spacing w:line="276" w:lineRule="auto" w:after="100"/>
      </w:pPr>
      <w:r>
        <w:t>4.2 三类检测模型与外接摄像头测试</w:t>
      </w:r>
    </w:p>
    <w:p>
      <w:pPr>
        <w:spacing w:line="276" w:lineRule="auto" w:after="100"/>
      </w:pPr>
      <w:r>
        <w:rPr>
          <w:rFonts w:ascii="Times New Roman" w:hAnsi="Times New Roman" w:eastAsia="Times New Roman"/>
          <w:b w:val="0"/>
          <w:color w:val="232323"/>
          <w:sz w:val="20"/>
        </w:rPr>
        <w:t>感知模块采用 YOLOv8n 训练三类目标检测模型，识别对象为橡皮、锁和订书机，输出类别、检测框和置信度。数据全部由小组自行拍摄，没有混入公开数据集图片；样本覆盖单物体、同框多物体、不同位置、朝向和光照条件，并使用 labelImg 逐张标注。</w:t>
      </w:r>
    </w:p>
    <w:p>
      <w:pPr>
        <w:spacing w:line="276" w:lineRule="auto" w:after="100"/>
      </w:pPr>
      <w:r>
        <w:rPr>
          <w:rFonts w:ascii="Times New Roman" w:hAnsi="Times New Roman" w:eastAsia="Times New Roman"/>
          <w:b w:val="0"/>
          <w:color w:val="232323"/>
          <w:sz w:val="20"/>
        </w:rPr>
        <w:t>训练配置为输入分辨率 640、训练 60 轮、批大小 16，设备为 RTX 4070 Laptop GPU。训练阶段使用马赛克拼接、色调扰动、随机缩放和随机擦除，验证集从原始图片中独立划分且不做增强。最终权重大小为 6.25 MB（约 6.3 MB），参数量约 300 万。根据训练记录，整体及三个类别的 mAP50 和 mAP50-95 均为 0.995，精确率和召回率均为 1.0。</w:t>
      </w:r>
    </w:p>
    <w:p>
      <w:pPr>
        <w:spacing w:line="276" w:lineRule="auto" w:after="100"/>
      </w:pPr>
      <w:r>
        <w:rPr>
          <w:sz w:val="21"/>
        </w:rPr>
        <w:t>针对锁与订书机混淆、订书机与橡皮在部分角度下混淆、后期加入新数据后早期样本识别能力下降等问题，训练阶段分别采用类别均衡采样、同框对比样本、提高分类损失权重、提高早期样本采样权重和针对性补拍。整体 mAP50-95 由 0.938 提升至 0.995。图 7 展示了两种网格摆放下的外接摄像头检测结果，橡皮、锁和订书机均被正确框选，置信度为 0.84～0.95，端到端显示帧率为 31.7～32.0 FPS。训练记录中的 1.1 ms 为单张模型推理时间，画面中的 FPS 则包含摄像头采集和显示开销。</w:t>
      </w:r>
    </w:p>
    <w:p>
      <w:pPr>
        <w:spacing w:line="276" w:lineRule="auto" w:after="100"/>
      </w:pPr>
      <w:r>
        <w:rPr>
          <w:rFonts w:ascii="Times New Roman" w:hAnsi="Times New Roman" w:eastAsia="SimSun"/>
          <w:sz w:val="20"/>
        </w:rPr>
        <w:t>外接摄像头测试验证了橡皮、锁和订书机的检测效果。后续用该权重控制真机分拣时，需要让物体类别与料盒配置一致，并标定摄像头像素到桌面网格的对应关系。模型权重保存在 models/，与实测画面一同归档。</w:t>
      </w:r>
    </w:p>
    <w:p>
      <w:pPr>
        <w:keepNext/>
        <w:spacing w:line="276" w:lineRule="auto" w:after="100"/>
        <w:jc w:val="center"/>
      </w:pPr>
      <w:r>
        <w:drawing>
          <wp:inline xmlns:a="http://schemas.openxmlformats.org/drawingml/2006/main" xmlns:pic="http://schemas.openxmlformats.org/drawingml/2006/picture">
            <wp:extent cx="2542032" cy="1933917"/>
            <wp:docPr id="14" name="Picture 14"/>
            <wp:cNvGraphicFramePr>
              <a:graphicFrameLocks noChangeAspect="1"/>
            </wp:cNvGraphicFramePr>
            <a:graphic>
              <a:graphicData uri="http://schemas.openxmlformats.org/drawingml/2006/picture">
                <pic:pic>
                  <pic:nvPicPr>
                    <pic:cNvPr id="0" name="c50f2717af5c6cb5a5aaaafe187a20fa.jpg"/>
                    <pic:cNvPicPr/>
                  </pic:nvPicPr>
                  <pic:blipFill>
                    <a:blip r:embed="rId23"/>
                    <a:stretch>
                      <a:fillRect/>
                    </a:stretch>
                  </pic:blipFill>
                  <pic:spPr>
                    <a:xfrm>
                      <a:off x="0" y="0"/>
                      <a:ext cx="2542032" cy="1933917"/>
                    </a:xfrm>
                    <a:prstGeom prst="rect"/>
                  </pic:spPr>
                </pic:pic>
              </a:graphicData>
            </a:graphic>
          </wp:inline>
        </w:drawing>
      </w:r>
      <w:r>
        <w:t xml:space="preserve">   </w:t>
      </w:r>
      <w:r>
        <w:drawing>
          <wp:inline xmlns:a="http://schemas.openxmlformats.org/drawingml/2006/main" xmlns:pic="http://schemas.openxmlformats.org/drawingml/2006/picture">
            <wp:extent cx="2542032" cy="1888833"/>
            <wp:docPr id="15" name="Picture 15"/>
            <wp:cNvGraphicFramePr>
              <a:graphicFrameLocks noChangeAspect="1"/>
            </wp:cNvGraphicFramePr>
            <a:graphic>
              <a:graphicData uri="http://schemas.openxmlformats.org/drawingml/2006/picture">
                <pic:pic>
                  <pic:nvPicPr>
                    <pic:cNvPr id="0" name="b075f1c2e9bdd6ade30ac7aa6887ef88.png"/>
                    <pic:cNvPicPr/>
                  </pic:nvPicPr>
                  <pic:blipFill>
                    <a:blip r:embed="rId24"/>
                    <a:stretch>
                      <a:fillRect/>
                    </a:stretch>
                  </pic:blipFill>
                  <pic:spPr>
                    <a:xfrm>
                      <a:off x="0" y="0"/>
                      <a:ext cx="2542032" cy="1888833"/>
                    </a:xfrm>
                    <a:prstGeom prst="rect"/>
                  </pic:spPr>
                </pic:pic>
              </a:graphicData>
            </a:graphic>
          </wp:inline>
        </w:drawing>
      </w:r>
    </w:p>
    <w:p>
      <w:pPr>
        <w:pStyle w:val="CaptionCustom"/>
        <w:keepNext w:val="0"/>
        <w:jc w:val="center"/>
      </w:pPr>
      <w:r>
        <w:rPr>
          <w:sz w:val="21"/>
        </w:rPr>
        <w:t>图 7  外接摄像头在两种网格布置下的三类物体检测结果（左：布置一；右：布置二）</w:t>
      </w:r>
    </w:p>
    <w:p>
      <w:pPr>
        <w:pStyle w:val="Heading2"/>
      </w:pPr>
      <w:r>
        <w:t>4.3 实机动作演示方法与真机集成计划</w:t>
      </w:r>
    </w:p>
    <w:p>
      <w:pPr/>
      <w:r>
        <w:t>为检验仿真中建立的接近、夹持和抬升动作能否迁移到实体机械臂，小组在蓝色胶带划分的桌面网格上进行了单目标低速演示。机械臂从网格上方接近黄色小锁，沿竖直方向下降，使夹爪两指分布在目标两侧，随后闭合夹爪并向上抬升。图 8 截取自视频 01:22，用于复核末端接近方向、夹持位置和抬升高度。</w:t>
      </w:r>
    </w:p>
    <w:p>
      <w:pPr>
        <w:keepNext/>
        <w:jc w:val="center"/>
      </w:pPr>
      <w:r>
        <w:drawing>
          <wp:inline xmlns:a="http://schemas.openxmlformats.org/drawingml/2006/main" xmlns:pic="http://schemas.openxmlformats.org/drawingml/2006/picture">
            <wp:extent cx="1508760" cy="2662517"/>
            <wp:docPr id="13" name="Picture 13" descr="实机夹爪夹持黄色小锁并抬离桌面网格"/>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图 8  实机演示中夹爪将小锁夹持并抬离桌面（视频 01:22）</w:t>
      </w:r>
    </w:p>
    <w:p>
      <w:pPr/>
      <w:r>
        <w:t>实机材料分别记录了物体识别、纠错处理和机械臂夹持动作。识别与纠错视频展示系统对两类六物体的识别结果，并在出现偏差时执行纠错后继续任务；夹持视频用于检查实体机械臂的接近、闭合和抬升动作。以下按部署、接口和验收顺序整理真机实现方法。</w:t>
      </w:r>
    </w:p>
    <w:p>
      <w:pPr>
        <w:pStyle w:val="Heading3"/>
      </w:pPr>
      <w:r>
        <w:t>4.3.1 硬件部署与标定</w:t>
      </w:r>
    </w:p>
    <w:p>
      <w:pPr>
        <w:spacing w:line="276" w:lineRule="auto" w:after="100"/>
      </w:pPr>
      <w:r>
        <w:rPr>
          <w:rFonts w:ascii="Times New Roman" w:hAnsi="Times New Roman" w:eastAsia="Times New Roman"/>
          <w:b w:val="0"/>
          <w:color w:val="232323"/>
          <w:sz w:val="20"/>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t>4.3.2 识别节点与任务接口</w:t>
      </w:r>
    </w:p>
    <w:p>
      <w:pPr>
        <w:spacing w:line="276" w:lineRule="auto" w:after="100"/>
      </w:pPr>
      <w:r>
        <w:rPr>
          <w:rFonts w:ascii="Times New Roman" w:hAnsi="Times New Roman" w:eastAsia="SimSun"/>
          <w:sz w:val="20"/>
        </w:rPr>
        <w:t>真机集成时，检测节点需将类别、检测框和置信度发布为 Detection2DArray；实际取物类别与分类垫须对应训练权重的类别表，并标定摄像头像素到取物网格的映射。完成接口联调后，再从单目标逐步扩展到六目标。</w:t>
      </w:r>
    </w:p>
    <w:p>
      <w:pPr>
        <w:pStyle w:val="Heading3"/>
      </w:pPr>
      <w:r>
        <w:t>4.3.3 单目标到六目标的验证顺序</w:t>
      </w:r>
    </w:p>
    <w:p>
      <w:pPr>
        <w:spacing w:line="276" w:lineRule="auto" w:after="100"/>
      </w:pPr>
      <w:r>
        <w:rPr>
          <w:rFonts w:ascii="Times New Roman" w:hAnsi="Times New Roman" w:eastAsia="Times New Roman"/>
          <w:b w:val="0"/>
          <w:color w:val="232323"/>
          <w:sz w:val="20"/>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t>4.3.4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只保留一个 master；干净实例复跑序列</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从低速单目标开始，逐步扩展到完整六目标任务</w:t>
            </w:r>
          </w:p>
        </w:tc>
      </w:tr>
    </w:tbl>
    <w:p>
      <w:pPr>
        <w:spacing w:after="100" w:line="276" w:lineRule="auto"/>
      </w:pPr>
    </w:p>
    <w:p>
      <w:pPr>
        <w:pStyle w:val="Heading2"/>
      </w:pPr>
      <w:r>
        <w:rPr>
          <w:rFonts w:ascii="Times New Roman" w:hAnsi="Times New Roman" w:eastAsia="Times New Roman"/>
          <w:b/>
          <w:color w:val="1F4E79"/>
          <w:sz w:val="23"/>
        </w:rPr>
        <w:t>5.3 系统局限与改进方向</w:t>
      </w:r>
    </w:p>
    <w:p>
      <w:pPr>
        <w:spacing w:line="276" w:lineRule="auto" w:after="100"/>
      </w:pPr>
      <w:r>
        <w:rPr>
          <w:rFonts w:ascii="Times New Roman" w:hAnsi="Times New Roman" w:eastAsia="Times New Roman"/>
          <w:b w:val="0"/>
          <w:color w:val="232323"/>
          <w:sz w:val="20"/>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pPr>
        <w:spacing w:line="276" w:lineRule="auto" w:after="100"/>
      </w:pPr>
      <w:r>
        <w:rPr>
          <w:rFonts w:ascii="Times New Roman" w:hAnsi="Times New Roman" w:eastAsia="Times New Roman"/>
          <w:b w:val="0"/>
          <w:color w:val="232323"/>
          <w:sz w:val="20"/>
        </w:rPr>
        <w:t>后续版本可以加入连续帧去抖、运行 ID、日志轮转、物体占用状态、动态障碍物检查和急停回退，并保持现有 Detection2DArray、状态反馈和对象级结果字段不变。</w:t>
      </w:r>
    </w:p>
    <w:p>
      <w:pPr>
        <w:pStyle w:val="Heading1"/>
      </w:pPr>
      <w:r>
        <w:rPr>
          <w:rFonts w:ascii="Times New Roman" w:hAnsi="Times New Roman" w:eastAsia="Times New Roman"/>
          <w:b/>
          <w:color w:val="1F4E79"/>
          <w:sz w:val="30"/>
        </w:rPr>
        <w:t>6 实验结果与验收证据</w:t>
      </w:r>
    </w:p>
    <w:p>
      <w:pPr>
        <w:pStyle w:val="Heading2"/>
      </w:pPr>
      <w:r>
        <w:t>6.1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t>6.2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步自动播放组织。该阶段验证了绿色类别对现有任务接口的复用，过程证据包括俯视场景、控制台、航点列表和自动播放画面；对象级成功率以独立三分类 CSV 为准进行统计。</w:t>
      </w:r>
    </w:p>
    <w:p>
      <w:pPr>
        <w:pStyle w:val="Heading2"/>
      </w:pPr>
      <w:r>
        <w:t>6.3 三类检测模型评估</w:t>
      </w:r>
    </w:p>
    <w:p>
      <w:pPr/>
      <w:r>
        <w:rPr>
          <w:sz w:val="21"/>
        </w:rPr>
        <w:t>独立验证集记录显示，整体及各类别的 mAP50 和 mAP50-95 均为 0.995，精确率和召回率均为 1.0。图 7 的两组外接摄像头画面进一步验证了模型在网格位置和目标摆放变化时对橡皮、锁、订书机的识别能力；两幅画面中的置信度范围为 0.84～0.95，显示帧率分别为 31.7 FPS 和 32.0 FPS。该结果用于证明外接摄像头视觉检测效果，系统级识别与纠错过程则由 6.4 节实机视频验证。</w:t>
      </w:r>
    </w:p>
    <w:p>
      <w:pPr>
        <w:pStyle w:val="Heading2"/>
      </w:pPr>
      <w:r>
        <w:t>6.4 实机识别、纠错与动作演示结果</w:t>
      </w:r>
    </w:p>
    <w:p>
      <w:pPr/>
      <w:r>
        <w:rPr>
          <w:rFonts w:ascii="Times New Roman" w:hAnsi="Times New Roman" w:eastAsia="SimSun"/>
          <w:sz w:val="20"/>
        </w:rPr>
        <w:t>实机验收包含两段互补视频。1 分 11 秒的视频记录了系统对两类六物体的正确识别，并展示识别或执行出现偏差后进入纠错流程、重新确认目标并继续任务的过程；另一段视频连续记录机械臂在桌面网格上方移动、下降到小锁两侧、闭合夹爪并抬升离桌。视频 01:22 处，小锁位于夹爪两指之间并与桌面保持明显间隙。</w:t>
      </w:r>
    </w:p>
    <w:p>
      <w:pPr/>
      <w:r>
        <w:rPr>
          <w:rFonts w:ascii="Times New Roman" w:hAnsi="Times New Roman" w:eastAsia="SimSun"/>
          <w:sz w:val="20"/>
        </w:rPr>
        <w:t>两段视频共同验证了真机流程中的目标识别、纠错处理以及单目标接近、夹持和抬升动作。识别结果、纠错过程和机械臂动作均可由视频逐段复核，真机两类六物体验收项据此记为通过。</w:t>
      </w:r>
    </w:p>
    <w:p>
      <w:pPr>
        <w:pStyle w:val="Heading2"/>
      </w:pPr>
      <w:r>
        <w:t>6.5 多层证据链</w:t>
      </w:r>
    </w:p>
    <w:p>
      <w:pPr>
        <w:spacing w:line="276" w:lineRule="auto" w:after="100"/>
      </w:pPr>
      <w:r>
        <w:rPr>
          <w:rFonts w:ascii="Times New Roman" w:hAnsi="Times New Roman" w:eastAsia="Times New Roman"/>
          <w:b w:val="0"/>
          <w:color w:val="232323"/>
          <w:sz w:val="20"/>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9  GUI、状态、事件、位姿和对象级 CSV 形成验收证据链</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SimSun"/>
          <w:sz w:val="20"/>
        </w:rPr>
        <w:t>小组分工包括摄像头检测模型训练、Gazebo 场景与仿真检测、任务决策、机械臂执行及系统测试。摄像头模型测试与 Gazebo 分拣分别保留检测截图和对象级运行记录；两者联调属于真机集成阶段。</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成员或任务组</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场景、六格网格和分类垫调整；手动示教；抓取、附着、垂直释放和证据复核；使用共享检测结果进行执行侧接口测试</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sorting_desktop.world；manual_animation.json；GUI 和 CSV 复核</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视觉模型任务组</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三类视觉检测数据采集、标注、YOLOv8n 训练、评估和外接摄像头验证</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models/best_yolov8n_eraser_lock_stapler.pt；models/README.md；检测截图</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t>实验三在定点搬运基础上完成了 Gazebo 桌面分拣、外接摄像头检测和真机验收。Gazebo 任务使用 Detection2DArray、固定网格定位、类别到分类区的映射、执行状态和对象级日志，红蓝六目标基线为 6/6；摄像头模型识别橡皮、锁和订书机；实机视频验证了两类六物体的正确识别、纠错机制以及小锁的夹持与抬升动作。</w:t>
      </w:r>
    </w:p>
    <w:p>
      <w:pPr>
        <w:spacing w:line="276" w:lineRule="auto" w:after="100"/>
      </w:pPr>
      <w:r>
        <w:rPr>
          <w:rFonts w:ascii="Times New Roman" w:hAnsi="Times New Roman" w:eastAsia="Times New Roman"/>
          <w:b w:val="0"/>
          <w:color w:val="232323"/>
          <w:sz w:val="20"/>
        </w:rPr>
        <w:t>小组在仿真阶段建立了真机迁移所需的接口和验收字段，并在真机阶段完成相机、识别、纠错与机械臂动作验证。真机测试按照“相机标定—低速单目标—第二类目标—两类六物体—异常纠错”的顺序推进，验收结果为通过；后续工作将继续优化识别稳定性、网格映射精度、夹爪开度、释放落点和急停策略。</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实机验收视频</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r>
              <w:rPr>
                <w:rFonts w:ascii="Times New Roman" w:hAnsi="Times New Roman" w:eastAsia="Times New Roman"/>
                <w:b w:val="0"/>
                <w:color w:val="232323"/>
                <w:sz w:val="17"/>
              </w:rPr>
              <w:t>videos/experiment3_real_robot_grasp_demo.mp4；videos/experiment3_real_robot_detection_correction_demo.mp4</w:t>
            </w:r>
          </w:p>
        </w:tc>
      </w:tr>
    </w:tbl>
    <w:p>
      <w:pPr>
        <w:spacing w:after="100" w:line="276" w:lineRule="auto"/>
      </w:pP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t>仓库按 code、models、evidence、report、videos 五个目录整理，并保留提交清单、运行说明和多次提交记录。两段 Gazebo 仿真视频位于 videos/experiment3_gazebo_sorting_run_01.webm 和 videos/experiment3_gazebo_sorting_run_02.webm。实机夹持视频位于 videos/experiment3_real_robot_grasp_demo.mp4，识别与纠错视频位于 videos/experiment3_real_robot_detection_correction_demo.mp4；后者用于复核两类六物体的正确识别与纠错机制。</w:t>
      </w:r>
    </w:p>
    <w:p>
      <w:pPr>
        <w:spacing w:before="160" w:after="60"/>
        <w:jc w:val="center"/>
      </w:pPr>
      <w:r>
        <w:drawing>
          <wp:inline xmlns:a="http://schemas.openxmlformats.org/drawingml/2006/main" xmlns:pic="http://schemas.openxmlformats.org/drawingml/2006/picture">
            <wp:extent cx="3383280" cy="1800036"/>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3383280" cy="1800036"/>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10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