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val="0"/>
                <w:color w:val="232323"/>
                <w:sz w:val="17"/>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桌面物体自动分类整理</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color w:val="232323"/>
                <w:sz w:val="18"/>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仿真开发、分类整理与真机验证方案</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pPr>
      <w:r>
        <w:rPr>
          <w:rFonts w:ascii="Times New Roman" w:hAnsi="Times New Roman" w:eastAsia="Times New Roman"/>
          <w:b w:val="0"/>
          <w:color w:val="232323"/>
          <w:sz w:val="20"/>
        </w:rPr>
        <w:br w:type="page"/>
      </w:r>
    </w:p>
    <w:p>
      <w:pPr>
        <w:pStyle w:val="Heading1"/>
      </w:pPr>
      <w:r>
        <w:rPr>
          <w:rFonts w:ascii="Times New Roman" w:hAnsi="Times New Roman" w:eastAsia="Times New Roman"/>
          <w:b/>
          <w:color w:val="1F4E79"/>
          <w:sz w:val="30"/>
        </w:rPr>
        <w:t>摘要</w:t>
      </w:r>
    </w:p>
    <w:p>
      <w:pPr>
        <w:spacing w:line="276" w:lineRule="auto" w:after="100"/>
      </w:pPr>
      <w:r>
        <w:rPr>
          <w:rFonts w:ascii="Times New Roman" w:hAnsi="Times New Roman" w:eastAsia="Times New Roman"/>
          <w:b w:val="0"/>
          <w:color w:val="232323"/>
          <w:sz w:val="20"/>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pPr>
        <w:spacing w:line="276" w:lineRule="auto" w:after="100"/>
      </w:pPr>
      <w:r>
        <w:rPr>
          <w:rFonts w:ascii="Times New Roman" w:hAnsi="Times New Roman" w:eastAsia="Times New Roman"/>
          <w:b w:val="0"/>
          <w:color w:val="232323"/>
          <w:sz w:val="20"/>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pPr>
        <w:spacing w:line="276" w:lineRule="auto" w:after="100"/>
      </w:pPr>
      <w:r>
        <w:rPr>
          <w:rFonts w:ascii="Times New Roman" w:hAnsi="Times New Roman" w:eastAsia="Times New Roman"/>
          <w:b w:val="0"/>
          <w:color w:val="232323"/>
          <w:sz w:val="20"/>
        </w:rPr>
        <w:t>实验结论：</w:t>
      </w:r>
      <w:r>
        <w:rPr>
          <w:rFonts w:ascii="Times New Roman" w:hAnsi="Times New Roman" w:eastAsia="Times New Roman"/>
          <w:b w:val="0"/>
          <w:color w:val="232323"/>
          <w:sz w:val="20"/>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待验收</w:t>
            </w:r>
          </w:p>
        </w:tc>
      </w:tr>
    </w:tbl>
    <w:p>
      <w:pPr>
        <w:spacing w:after="100" w:line="276" w:lineRule="auto"/>
      </w:pPr>
    </w:p>
    <w:p>
      <w:pPr>
        <w:pStyle w:val="Heading1"/>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rPr>
          <w:rFonts w:ascii="Times New Roman" w:hAnsi="Times New Roman" w:eastAsia="Times New Roman"/>
          <w:b w:val="0"/>
          <w:color w:val="232323"/>
          <w:sz w:val="20"/>
        </w:rPr>
        <w:t>系统由感知层、任务决策层和机械臂执行层组成。感知层产生图像与检测数组；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rPr>
          <w:rFonts w:ascii="Times New Roman" w:hAnsi="Times New Roman" w:eastAsia="Times New Roman"/>
          <w:b w:val="0"/>
          <w:color w:val="5A5A5A"/>
          <w:sz w:val="18"/>
        </w:rPr>
        <w:t>图 1  三层系统架构与对象级结果闭环</w:t>
      </w:r>
    </w:p>
    <w:p>
      <w:pPr>
        <w:spacing w:line="276" w:lineRule="auto" w:after="100"/>
      </w:pPr>
      <w:r>
        <w:rPr>
          <w:rFonts w:ascii="Times New Roman" w:hAnsi="Times New Roman" w:eastAsia="Times New Roman"/>
          <w:b w:val="0"/>
          <w:color w:val="232323"/>
          <w:sz w:val="20"/>
        </w:rPr>
        <w:t>仿真监视节点按照标准 Detection2DArray 契约生成确定性检测结果，任务节点使用与真实视觉节点相同的消息字段。这样能够在仿真中验证网格与任务控制逻辑，再将真实相机和检测模型接入同一接口。</w:t>
      </w:r>
    </w:p>
    <w:p>
      <w:pPr>
        <w:pStyle w:val="Heading2"/>
      </w:pPr>
      <w:r>
        <w:rPr>
          <w:rFonts w:ascii="Times New Roman" w:hAnsi="Times New Roman" w:eastAsia="Times New Roman"/>
          <w:b/>
          <w:color w:val="1F4E79"/>
          <w:sz w:val="23"/>
        </w:rPr>
        <w:t>2.2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rPr>
          <w:rFonts w:ascii="Times New Roman" w:hAnsi="Times New Roman" w:eastAsia="Times New Roman"/>
          <w:b/>
          <w:color w:val="1F4E79"/>
          <w:sz w:val="23"/>
        </w:rPr>
        <w:t>2.3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图 2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参考记录 Precision 0.658、Recall 0.748、mAP@0.5 0.766、约 15 FPS；上机运行时重新记录</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3"/>
      </w:pPr>
      <w:r>
        <w:rPr>
          <w:rFonts w:ascii="Times New Roman" w:hAnsi="Times New Roman" w:eastAsia="Times New Roman"/>
          <w:b/>
          <w:color w:val="1F4E79"/>
          <w:sz w:val="21"/>
        </w:rPr>
        <w:t>4.1.1 场景搭建与参数同步</w:t>
      </w:r>
    </w:p>
    <w:p>
      <w:pPr>
        <w:spacing w:line="276" w:lineRule="auto" w:after="100"/>
      </w:pPr>
      <w:r>
        <w:rPr>
          <w:rFonts w:ascii="Times New Roman" w:hAnsi="Times New Roman" w:eastAsia="Times New Roman"/>
          <w:b w:val="0"/>
          <w:color w:val="232323"/>
          <w:sz w:val="20"/>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rPr>
          <w:rFonts w:ascii="Times New Roman" w:hAnsi="Times New Roman" w:eastAsia="Times New Roman"/>
          <w:b/>
          <w:color w:val="1F4E79"/>
          <w:sz w:val="21"/>
        </w:rPr>
        <w:t>4.1.2 手动示教与单目标调试</w:t>
      </w:r>
    </w:p>
    <w:p>
      <w:pPr>
        <w:spacing w:line="276" w:lineRule="auto" w:after="100"/>
      </w:pPr>
      <w:r>
        <w:rPr>
          <w:rFonts w:ascii="Times New Roman" w:hAnsi="Times New Roman" w:eastAsia="Times New Roman"/>
          <w:b w:val="0"/>
          <w:color w:val="232323"/>
          <w:sz w:val="20"/>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图 3  手动控制台、六关节调节与语义航点编辑</w:t>
      </w:r>
    </w:p>
    <w:p>
      <w:pPr>
        <w:pStyle w:val="Heading3"/>
      </w:pPr>
      <w:r>
        <w:rPr>
          <w:rFonts w:ascii="Times New Roman" w:hAnsi="Times New Roman" w:eastAsia="Times New Roman"/>
          <w:b/>
          <w:color w:val="1F4E79"/>
          <w:sz w:val="21"/>
        </w:rPr>
        <w:t>4.1.3 自动播放与一键启动</w:t>
      </w:r>
    </w:p>
    <w:p>
      <w:pPr>
        <w:spacing w:line="276" w:lineRule="auto" w:after="100"/>
      </w:pPr>
      <w:r>
        <w:rPr>
          <w:rFonts w:ascii="Times New Roman" w:hAnsi="Times New Roman" w:eastAsia="Times New Roman"/>
          <w:b w:val="0"/>
          <w:color w:val="232323"/>
          <w:sz w:val="20"/>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rPr>
          <w:rFonts w:ascii="Times New Roman" w:hAnsi="Times New Roman" w:eastAsia="Times New Roman"/>
          <w:b w:val="0"/>
          <w:color w:val="5A5A5A"/>
          <w:sz w:val="18"/>
        </w:rPr>
        <w:t>图 4  六个目标子序列与 34 步自动播放节拍</w:t>
      </w:r>
    </w:p>
    <w:p>
      <w:pPr>
        <w:pStyle w:val="Heading3"/>
      </w:pPr>
      <w:r>
        <w:rPr>
          <w:rFonts w:ascii="Times New Roman" w:hAnsi="Times New Roman" w:eastAsia="Times New Roman"/>
          <w:b/>
          <w:color w:val="1F4E79"/>
          <w:sz w:val="21"/>
        </w:rPr>
        <w:t>4.1.4 抓取、搬运与释放</w:t>
      </w:r>
    </w:p>
    <w:p>
      <w:pPr>
        <w:spacing w:line="276" w:lineRule="auto" w:after="100"/>
      </w:pPr>
      <w:r>
        <w:rPr>
          <w:rFonts w:ascii="Times New Roman" w:hAnsi="Times New Roman" w:eastAsia="Times New Roman"/>
          <w:b w:val="0"/>
          <w:color w:val="232323"/>
          <w:sz w:val="20"/>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rPr>
          <w:rFonts w:ascii="Times New Roman" w:hAnsi="Times New Roman" w:eastAsia="Times New Roman"/>
          <w:b w:val="0"/>
          <w:color w:val="5A5A5A"/>
          <w:sz w:val="18"/>
        </w:rPr>
        <w:t>图 5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rPr>
          <w:rFonts w:ascii="Times New Roman" w:hAnsi="Times New Roman" w:eastAsia="Times New Roman"/>
          <w:b w:val="0"/>
          <w:color w:val="5A5A5A"/>
          <w:sz w:val="18"/>
        </w:rPr>
        <w:t>图 6  分类垫上方对齐、垂直释放与落点验收</w:t>
      </w:r>
    </w:p>
    <w:p>
      <w:pPr>
        <w:pStyle w:val="Heading3"/>
      </w:pPr>
      <w:r>
        <w:rPr>
          <w:rFonts w:ascii="Times New Roman" w:hAnsi="Times New Roman" w:eastAsia="Times New Roman"/>
          <w:b/>
          <w:color w:val="1F4E79"/>
          <w:sz w:val="21"/>
        </w:rPr>
        <w:t>4.1.5 仿真验收记录</w:t>
      </w:r>
    </w:p>
    <w:p>
      <w:pPr>
        <w:spacing w:line="276" w:lineRule="auto" w:after="100"/>
      </w:pPr>
      <w:r>
        <w:rPr>
          <w:rFonts w:ascii="Times New Roman" w:hAnsi="Times New Roman" w:eastAsia="Times New Roman"/>
          <w:b w:val="0"/>
          <w:color w:val="232323"/>
          <w:sz w:val="20"/>
        </w:rPr>
        <w:t>任务执行过程保存 state、execution_state、execution_result、事件日志、最终位姿和对象级 CSV。验收同时查看 GUI 画面和结果文件，确认目标确实离开桌面、进入相应分类区并达到落点条件。</w:t>
      </w:r>
    </w:p>
    <w:p>
      <w:pPr>
        <w:pStyle w:val="Heading2"/>
      </w:pPr>
      <w:r>
        <w:rPr>
          <w:rFonts w:ascii="Times New Roman" w:hAnsi="Times New Roman" w:eastAsia="Times New Roman"/>
          <w:b/>
          <w:color w:val="1F4E79"/>
          <w:sz w:val="23"/>
        </w:rPr>
        <w:t>4.2 阶段二 真机验证</w:t>
      </w:r>
    </w:p>
    <w:p>
      <w:pPr>
        <w:pStyle w:val="Heading3"/>
      </w:pPr>
      <w:r>
        <w:rPr>
          <w:rFonts w:ascii="Times New Roman" w:hAnsi="Times New Roman" w:eastAsia="Times New Roman"/>
          <w:b/>
          <w:color w:val="1F4E79"/>
          <w:sz w:val="21"/>
        </w:rPr>
        <w:t>4.2.1 硬件部署与标定</w:t>
      </w:r>
    </w:p>
    <w:p>
      <w:pPr>
        <w:spacing w:line="276" w:lineRule="auto" w:after="100"/>
      </w:pPr>
      <w:r>
        <w:rPr>
          <w:rFonts w:ascii="Times New Roman" w:hAnsi="Times New Roman" w:eastAsia="Times New Roman"/>
          <w:b w:val="0"/>
          <w:color w:val="232323"/>
          <w:sz w:val="20"/>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rPr>
          <w:rFonts w:ascii="Times New Roman" w:hAnsi="Times New Roman" w:eastAsia="Times New Roman"/>
          <w:b/>
          <w:color w:val="1F4E79"/>
          <w:sz w:val="21"/>
        </w:rPr>
        <w:t>4.2.2 识别节点与任务接口</w:t>
      </w:r>
    </w:p>
    <w:p>
      <w:pPr>
        <w:spacing w:line="276" w:lineRule="auto" w:after="100"/>
      </w:pPr>
      <w:r>
        <w:rPr>
          <w:rFonts w:ascii="Times New Roman" w:hAnsi="Times New Roman" w:eastAsia="Times New Roman"/>
          <w:b w:val="0"/>
          <w:color w:val="232323"/>
          <w:sz w:val="20"/>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rPr>
          <w:rFonts w:ascii="Times New Roman" w:hAnsi="Times New Roman" w:eastAsia="Times New Roman"/>
          <w:b/>
          <w:color w:val="1F4E79"/>
          <w:sz w:val="21"/>
        </w:rPr>
        <w:t>4.2.3 单目标到六目标的验证顺序</w:t>
      </w:r>
    </w:p>
    <w:p>
      <w:pPr>
        <w:spacing w:line="276" w:lineRule="auto" w:after="100"/>
      </w:pPr>
      <w:r>
        <w:rPr>
          <w:rFonts w:ascii="Times New Roman" w:hAnsi="Times New Roman" w:eastAsia="Times New Roman"/>
          <w:b w:val="0"/>
          <w:color w:val="232323"/>
          <w:sz w:val="20"/>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rPr>
          <w:rFonts w:ascii="Times New Roman" w:hAnsi="Times New Roman" w:eastAsia="Times New Roman"/>
          <w:b/>
          <w:color w:val="1F4E79"/>
          <w:sz w:val="21"/>
        </w:rP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只保留一个 master；干净实例复跑序列</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从低速单目标开始，逐步扩展到完整六目标任务</w:t>
            </w:r>
          </w:p>
        </w:tc>
      </w:tr>
    </w:tbl>
    <w:p>
      <w:pPr>
        <w:spacing w:after="100" w:line="276" w:lineRule="auto"/>
      </w:pPr>
    </w:p>
    <w:p>
      <w:pPr>
        <w:pStyle w:val="Heading2"/>
      </w:pPr>
      <w:r>
        <w:rPr>
          <w:rFonts w:ascii="Times New Roman" w:hAnsi="Times New Roman" w:eastAsia="Times New Roman"/>
          <w:b/>
          <w:color w:val="1F4E79"/>
          <w:sz w:val="23"/>
        </w:rPr>
        <w:t>5.3 系统局限与改进方向</w:t>
      </w:r>
    </w:p>
    <w:p>
      <w:pPr>
        <w:spacing w:line="276" w:lineRule="auto" w:after="100"/>
      </w:pPr>
      <w:r>
        <w:rPr>
          <w:rFonts w:ascii="Times New Roman" w:hAnsi="Times New Roman" w:eastAsia="Times New Roman"/>
          <w:b w:val="0"/>
          <w:color w:val="232323"/>
          <w:sz w:val="20"/>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pPr>
        <w:spacing w:line="276" w:lineRule="auto" w:after="100"/>
      </w:pPr>
      <w:r>
        <w:rPr>
          <w:rFonts w:ascii="Times New Roman" w:hAnsi="Times New Roman" w:eastAsia="Times New Roman"/>
          <w:b w:val="0"/>
          <w:color w:val="232323"/>
          <w:sz w:val="20"/>
        </w:rPr>
        <w:t>后续版本可以加入连续帧去抖、运行 ID、日志轮转、物体占用状态、动态障碍物检查和急停回退，并保持现有 Detection2DArray、状态反馈和对象级结果字段不变。</w:t>
      </w:r>
    </w:p>
    <w:p>
      <w:pPr>
        <w:pStyle w:val="Heading1"/>
      </w:pPr>
      <w:r>
        <w:rPr>
          <w:rFonts w:ascii="Times New Roman" w:hAnsi="Times New Roman" w:eastAsia="Times New Roman"/>
          <w:b/>
          <w:color w:val="1F4E79"/>
          <w:sz w:val="30"/>
        </w:rPr>
        <w:t>6 实验结果与验收证据</w:t>
      </w:r>
    </w:p>
    <w:p>
      <w:pPr>
        <w:pStyle w:val="Heading2"/>
      </w:pPr>
      <w:r>
        <w:rPr>
          <w:rFonts w:ascii="Times New Roman" w:hAnsi="Times New Roman" w:eastAsia="Times New Roman"/>
          <w:b/>
          <w:color w:val="1F4E79"/>
          <w:sz w:val="23"/>
        </w:rPr>
        <w:t>6.1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rPr>
          <w:rFonts w:ascii="Times New Roman" w:hAnsi="Times New Roman" w:eastAsia="Times New Roman"/>
          <w:b/>
          <w:color w:val="1F4E79"/>
          <w:sz w:val="23"/>
        </w:rPr>
        <w:t>6.2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rPr>
          <w:rFonts w:ascii="Times New Roman" w:hAnsi="Times New Roman" w:eastAsia="Times New Roman"/>
          <w:b/>
          <w:color w:val="1F4E79"/>
          <w:sz w:val="23"/>
        </w:rPr>
        <w:t>6.3 多层证据链</w:t>
      </w:r>
    </w:p>
    <w:p>
      <w:pPr>
        <w:spacing w:line="276" w:lineRule="auto" w:after="100"/>
      </w:pPr>
      <w:r>
        <w:rPr>
          <w:rFonts w:ascii="Times New Roman" w:hAnsi="Times New Roman" w:eastAsia="Times New Roman"/>
          <w:b w:val="0"/>
          <w:color w:val="232323"/>
          <w:sz w:val="20"/>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图 7  GUI、状态、事件、位姿和对象级 CSV 形成验收证据链</w:t>
      </w:r>
    </w:p>
    <w:p>
      <w:pPr>
        <w:pStyle w:val="Heading2"/>
        <w:spacing w:line="276" w:lineRule="auto" w:after="100"/>
      </w:pPr>
      <w:r>
        <w:rPr>
          <w:rFonts w:ascii="Times New Roman" w:hAnsi="Times New Roman" w:eastAsia="Times New Roman"/>
          <w:b/>
          <w:color w:val="1F4E79"/>
          <w:sz w:val="23"/>
        </w:rPr>
        <w:t>6.4 视觉检测模型训练与部署</w:t>
      </w:r>
    </w:p>
    <w:p>
      <w:pPr>
        <w:spacing w:line="276" w:lineRule="auto" w:after="100"/>
      </w:pPr>
      <w:r>
        <w:rPr>
          <w:rFonts w:ascii="Times New Roman" w:hAnsi="Times New Roman" w:eastAsia="Times New Roman"/>
          <w:b w:val="0"/>
          <w:color w:val="232323"/>
          <w:sz w:val="20"/>
        </w:rPr>
        <w:t>感知模块采用 YOLOv8n 训练三类目标检测模型，识别对象为橡皮、锁和订书机，输出类别、检测框和置信度。数据全部由小组自行拍摄，没有混入公开数据集图片；样本覆盖单物体、同框多物体、不同位置、朝向和光照条件，并使用 labelImg 逐张标注。</w:t>
      </w:r>
    </w:p>
    <w:p>
      <w:pPr>
        <w:spacing w:line="276" w:lineRule="auto" w:after="100"/>
      </w:pPr>
      <w:r>
        <w:rPr>
          <w:rFonts w:ascii="Times New Roman" w:hAnsi="Times New Roman" w:eastAsia="Times New Roman"/>
          <w:b w:val="0"/>
          <w:color w:val="232323"/>
          <w:sz w:val="20"/>
        </w:rPr>
        <w:t>训练配置为输入分辨率 640、训练 60 轮、批大小 16，设备为 RTX 4070 Laptop GPU。训练阶段使用马赛克拼接、色调扰动、随机缩放和随机擦除，验证集从原始图片中独立划分且不做增强。最终权重大小为 6.25 MB（约 6.3 MB），参数量约 300 万。根据训练记录，整体及三个类别的 mAP50 和 mAP50-95 均为 0.995，精确率和召回率均为 1.0。</w:t>
      </w:r>
    </w:p>
    <w:p>
      <w:pPr>
        <w:spacing w:line="276" w:lineRule="auto" w:after="100"/>
      </w:pPr>
      <w:r>
        <w:rPr>
          <w:rFonts w:ascii="Times New Roman" w:hAnsi="Times New Roman" w:eastAsia="Times New Roman"/>
          <w:b w:val="0"/>
          <w:color w:val="232323"/>
          <w:sz w:val="20"/>
        </w:rPr>
        <w:t>迭代过程针对锁与订书机混淆、订书机个别角度与橡皮混淆、加入新数据后早期样本特征被稀释，以及验证集与外接摄像头场景存在差异等问题，分别采用类别配比调整、同框对比样本补拍、分类损失强化、早期样本加权和实拍薄弱场景补拍。整体 mAP50-95 从 0.938 提升到 0.995。示例外接摄像头画面中，三类目标的置信度为 0.89–0.94，画面显示 31.2 FPS；1.1 ms 是单张模型推理时间，31.2 FPS 是包含摄像头读取和显示的端到端帧率。</w:t>
      </w:r>
    </w:p>
    <w:p>
      <w:pPr>
        <w:spacing w:line="276" w:lineRule="auto" w:after="100"/>
      </w:pPr>
      <w:r>
        <w:rPr>
          <w:rFonts w:ascii="Times New Roman" w:hAnsi="Times New Roman" w:eastAsia="Times New Roman"/>
          <w:b w:val="0"/>
          <w:color w:val="232323"/>
          <w:sz w:val="20"/>
        </w:rPr>
        <w:t>仿真阶段仍由监视节点根据 Gazebo 模型状态生成确定性的 Detection2DArray 消息，以保证任务和执行接口的重复性；训练权重单独归档在 models/ 中，用于后续外接摄像头和真机验证。</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rPr>
          <w:rFonts w:ascii="Times New Roman" w:hAnsi="Times New Roman" w:eastAsia="Times New Roman"/>
          <w:b w:val="0"/>
          <w:color w:val="5A5A5A"/>
          <w:sz w:val="18"/>
        </w:rPr>
        <w:t>图 8  外接摄像头同时识别橡皮、锁和订书机的实测画面</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Times New Roman"/>
          <w:b w:val="0"/>
          <w:color w:val="232323"/>
          <w:sz w:val="20"/>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场景、六格与分类垫调整；YOLOv8n 三类数据采集、训练和外接摄像头验证；手动示教；抓取、附着、垂直释放和证据复核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sorting_desktop.world；manual_animation.json；models/best_yolov8n_eraser_lock_stapler.pt；检测截图；GUI 与 CSV 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rPr>
          <w:rFonts w:ascii="Times New Roman" w:hAnsi="Times New Roman" w:eastAsia="Times New Roman"/>
          <w:b w:val="0"/>
          <w:color w:val="232323"/>
          <w:sz w:val="20"/>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pPr>
        <w:spacing w:line="276" w:lineRule="auto" w:after="100"/>
      </w:pPr>
      <w:r>
        <w:rPr>
          <w:rFonts w:ascii="Times New Roman" w:hAnsi="Times New Roman" w:eastAsia="Times New Roman"/>
          <w:b w:val="0"/>
          <w:color w:val="232323"/>
          <w:sz w:val="20"/>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结果范围说明：红蓝 6/6 采用已归档对象级仿真记录；三分类内容采用场景、航点和自动播放证据；真机章节提供部署、标定、执行和验收字段。</w:t>
      </w:r>
    </w:p>
    <w:p>
      <w:pPr>
        <w:spacing w:line="276" w:lineRule="auto" w:after="100"/>
      </w:pPr>
      <w:r>
        <w:rPr>
          <w:rFonts w:ascii="Times New Roman" w:hAnsi="Times New Roman" w:eastAsia="Times New Roman"/>
          <w:b w:val="0"/>
          <w:color w:val="232323"/>
          <w:sz w:val="20"/>
        </w:rPr>
        <w:br w:type="page"/>
      </w: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rPr>
          <w:rFonts w:ascii="Times New Roman" w:hAnsi="Times New Roman" w:eastAsia="Times New Roman"/>
          <w:b w:val="0"/>
          <w:color w:val="232323"/>
          <w:sz w:val="20"/>
        </w:rPr>
        <w:t>仓库按 code、models、evidence、report、videos 四个目录整理，并保留提交清单、运行说明和多次提交记录。两段 Gazebo 仿真演示视频位于 videos/experiment3_gazebo_sorting_run_01.webm 和 videos/experiment3_gazebo_sorting_run_02.webm。报告、PDF 和截图同时作为 GitHub 证据，便于教师从仓库页面复核提交内容、来源和提交时间。</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9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