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432" w:hRule="atLeast"/>
          <w:tblHeader w:val="true"/>
        </w:trPr>
        <w:tc>
          <w:tcPr>
            <w:tcW w:type="dxa" w:w="7703"/>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ROBOTICS INTEGRATION GROUP PROJECT</w:t>
            </w:r>
          </w:p>
        </w:tc>
        <w:tc>
          <w:tcPr>
            <w:tcW w:type="dxa" w:w="1584"/>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Desktop Object Automatic Sorting and Organization</w:t>
      </w:r>
    </w:p>
    <w:p>
      <w:pPr>
        <w:spacing w:after="100" w:line="276" w:lineRule="auto"/>
        <w:jc w:val="center"/>
      </w:pPr>
      <w:r>
        <w:rPr>
          <w:rFonts w:ascii="Times New Roman" w:hAnsi="Times New Roman" w:eastAsia="Times New Roman"/>
          <w:b w:val="0"/>
          <w:color w:val="232323"/>
          <w:sz w:val="20"/>
        </w:rPr>
        <w:t>Experiment 3  ·  laboratory report</w:t>
      </w:r>
    </w:p>
    <w:p>
      <w:pPr>
        <w:spacing w:after="100" w:line="276" w:lineRule="auto"/>
        <w:jc w:val="center"/>
      </w:pPr>
      <w:r>
        <w:rPr>
          <w:rFonts w:ascii="Times New Roman" w:hAnsi="Times New Roman" w:eastAsia="Times New Roman"/>
          <w:b w:val="0"/>
          <w:color w:val="232323"/>
          <w:sz w:val="20"/>
        </w:rPr>
        <w:t>Group 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432" w:hRule="atLeast"/>
          <w:tblHeader w:val="true"/>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Course</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color w:val="232323"/>
                <w:sz w:val="18"/>
              </w:rPr>
              <w:t>Robotics Integration Group Project I</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Group</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Group 17: Yang Muqing, Lan Songyu, Zhang Kairui, and Zhao Hang</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Report topic</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Simulation development, sorting, and real-robot validation plan</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jc w:val="center"/>
      </w:pPr>
      <w:r>
        <w:rPr>
          <w:rFonts w:ascii="Times New Roman" w:hAnsi="Times New Roman" w:eastAsia="Times New Roman"/>
          <w:b w:val="0"/>
          <w:color w:val="232323"/>
          <w:sz w:val="20"/>
        </w:rPr>
        <w:t>GitHub: https://github.com/9161942-boop/robotics-experiment-3</w:t>
      </w:r>
      <w:r>
        <w:rPr>
          <w:rFonts w:ascii="Times New Roman" w:hAnsi="Times New Roman" w:eastAsia="Times New Roman"/>
          <w:b w:val="0"/>
          <w:color w:val="232323"/>
          <w:sz w:val="20"/>
        </w:rPr>
        <w:br w:type="page"/>
      </w:r>
    </w:p>
    <w:p>
      <w:pPr>
        <w:pStyle w:val="Heading1"/>
        <w:keepNext/>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Times New Roman"/>
          <w:b w:val="0"/>
          <w:color w:val="232323"/>
          <w:sz w:val="20"/>
        </w:rPr>
        <w:t>This experiment develops an automatic desktop object sorting system using ROS 2, Gazebo, and the mechArm 270. The system forms a complete perception–localization–decision–execution–acceptance loop: an overhead camera publishes the desktop image, a detection node outputs class labels, confidence scores, and bounding boxes, and the task node maps box centers to a fixed picking grid and generates an execution queue with target-bin information. The robot then performs grasping, transfer, release, and result logging through a state machine.</w:t>
      </w:r>
    </w:p>
    <w:p>
      <w:pPr>
        <w:spacing w:line="276" w:lineRule="auto" w:after="100"/>
      </w:pPr>
      <w:r>
        <w:rPr>
          <w:rFonts w:ascii="Times New Roman" w:hAnsi="Times New Roman" w:eastAsia="Times New Roman"/>
          <w:b w:val="0"/>
          <w:color w:val="232323"/>
          <w:sz w:val="20"/>
        </w:rPr>
        <w:t>The system first uses six red and blue cylinders for quantitative simulation acceptance; the archived object-level record is 6/6. The scene is then extended to red, blue, and green objects to verify the added class, sorting region, waypoint sequence, and automatic playback interface. This report is organized into simulation development and real-robot validation phases, with quantitative results, process evidence, and the fields required for later real-robot acceptance listed separately.</w:t>
      </w:r>
    </w:p>
    <w:p>
      <w:pPr>
        <w:spacing w:line="276" w:lineRule="auto" w:after="100"/>
      </w:pPr>
      <w:r>
        <w:rPr>
          <w:rFonts w:ascii="Times New Roman" w:hAnsi="Times New Roman" w:eastAsia="Times New Roman"/>
          <w:b w:val="0"/>
          <w:color w:val="232323"/>
          <w:sz w:val="20"/>
        </w:rPr>
        <w:t>Conclusion: the simulation phase completed the standard image interface, fixed-grid localization, class-to-bin mapping, grasp-and-release state machine, exception branches, and object-level logging. The red–blue baseline reached 6/6, the three-class extension completed scene and automatic-sequence integration, and the real-robot phase now has an implementable deployment and acceptance plan.</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rPr>
          <w:rFonts w:ascii="Times New Roman" w:hAnsi="Times New Roman" w:eastAsia="Times New Roman"/>
          <w:b w:val="0"/>
          <w:color w:val="232323"/>
          <w:sz w:val="20"/>
        </w:rPr>
        <w:t>The system consists of a perception layer, a task-decision layer, and a robot-execution layer. The perception layer produces images and detection arrays. The decision layer performs confidence filtering, grid localization, class mapping, queue ordering, and exception branching. The execution layer controls the arm and gripper to approach, close, lift, transfer, release, and report results. The acceptance layer reads the GUI, stage states, event logs, final poses, and object-level CSV to form traceable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rPr>
          <w:rFonts w:ascii="Times New Roman" w:hAnsi="Times New Roman" w:eastAsia="Times New Roman"/>
          <w:b w:val="0"/>
          <w:color w:val="5A5A5A"/>
          <w:sz w:val="18"/>
        </w:rPr>
        <w:t>Fig. 1  Three-layer system architecture and object-level result loop</w:t>
      </w:r>
    </w:p>
    <w:p>
      <w:pPr>
        <w:spacing w:line="276" w:lineRule="auto" w:after="100"/>
      </w:pPr>
      <w:r>
        <w:rPr>
          <w:rFonts w:ascii="Times New Roman" w:hAnsi="Times New Roman" w:eastAsia="Times New Roman"/>
          <w:b w:val="0"/>
          <w:color w:val="232323"/>
          <w:sz w:val="20"/>
        </w:rPr>
        <w:t>The simulation monitor generates deterministic detections according to the standard Detection2DArray contract, and the task node uses the same message fields as the real vision node. This allows the grid and task-control logic to be validated in simulation before a real camera and detection model are connected to the same interface.</w:t>
      </w:r>
    </w:p>
    <w:p>
      <w:pPr>
        <w:pStyle w:val="Heading2"/>
        <w:keepNext/>
        <w:spacing w:before="100" w:after="80"/>
      </w:pPr>
      <w:r>
        <w:rPr>
          <w:rFonts w:ascii="Times New Roman" w:hAnsi="Times New Roman" w:eastAsia="Times New Roman"/>
          <w:b/>
          <w:color w:val="1F4E79"/>
          <w:sz w:val="23"/>
        </w:rPr>
        <w:t>2.2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rPr>
          <w:rFonts w:ascii="Times New Roman" w:hAnsi="Times New Roman" w:eastAsia="Times New Roman"/>
          <w:b/>
          <w:color w:val="1F4E79"/>
          <w:sz w:val="23"/>
        </w:rPr>
        <w:t>2.3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rPr>
          <w:rFonts w:ascii="Times New Roman" w:hAnsi="Times New Roman" w:eastAsia="Times New Roman"/>
          <w:b w:val="0"/>
          <w:color w:val="5A5A5A"/>
          <w:sz w:val="18"/>
        </w:rP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Connect to the preceding YOLOv8 class model and output class, confidence, and bounding box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Reference record: Precision 0.658, Recall 0.748, mAP@0.5 0.766, about 15 FPS; re-record on hardware</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rPr>
          <w:rFonts w:ascii="Times New Roman" w:hAnsi="Times New Roman" w:eastAsia="Times New Roman"/>
          <w:b/>
          <w:color w:val="1F4E79"/>
          <w:sz w:val="21"/>
        </w:rPr>
        <w:t>4.1.1 Scene construction and parameter synchronization</w:t>
      </w:r>
    </w:p>
    <w:p>
      <w:pPr>
        <w:spacing w:line="276" w:lineRule="auto" w:after="100"/>
      </w:pPr>
      <w:r>
        <w:rPr>
          <w:rFonts w:ascii="Times New Roman" w:hAnsi="Times New Roman" w:eastAsia="Times New Roman"/>
          <w:b w:val="0"/>
          <w:color w:val="232323"/>
          <w:sz w:val="20"/>
        </w:rPr>
        <w:t>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rPr>
          <w:rFonts w:ascii="Times New Roman" w:hAnsi="Times New Roman" w:eastAsia="Times New Roman"/>
          <w:b/>
          <w:color w:val="1F4E79"/>
          <w:sz w:val="21"/>
        </w:rP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rPr>
          <w:rFonts w:ascii="Times New Roman" w:hAnsi="Times New Roman" w:eastAsia="Times New Roman"/>
          <w:b w:val="0"/>
          <w:color w:val="5A5A5A"/>
          <w:sz w:val="18"/>
        </w:rPr>
        <w:t>Fig. 3  Manual control panel, six-joint adjustment, and semantic waypoint editing</w:t>
      </w:r>
    </w:p>
    <w:p>
      <w:pPr>
        <w:pStyle w:val="Heading3"/>
        <w:keepNext/>
        <w:spacing w:before="100" w:after="80"/>
      </w:pPr>
      <w:r>
        <w:rPr>
          <w:rFonts w:ascii="Times New Roman" w:hAnsi="Times New Roman" w:eastAsia="Times New Roman"/>
          <w:b/>
          <w:color w:val="1F4E79"/>
          <w:sz w:val="21"/>
        </w:rP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rPr>
          <w:rFonts w:ascii="Times New Roman" w:hAnsi="Times New Roman" w:eastAsia="Times New Roman"/>
          <w:b w:val="0"/>
          <w:color w:val="5A5A5A"/>
          <w:sz w:val="18"/>
        </w:rPr>
        <w:t>Fig. 4  Six target subsequences and the 34-step automatic playback timing</w:t>
      </w:r>
    </w:p>
    <w:p>
      <w:pPr>
        <w:pStyle w:val="Heading3"/>
        <w:keepNext/>
        <w:spacing w:before="100" w:after="80"/>
      </w:pPr>
      <w:r>
        <w:rPr>
          <w:rFonts w:ascii="Times New Roman" w:hAnsi="Times New Roman" w:eastAsia="Times New Roman"/>
          <w:b/>
          <w:color w:val="1F4E79"/>
          <w:sz w:val="21"/>
        </w:rP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rPr>
          <w:rFonts w:ascii="Times New Roman" w:hAnsi="Times New Roman" w:eastAsia="Times New Roman"/>
          <w:b w:val="0"/>
          <w:color w:val="5A5A5A"/>
          <w:sz w:val="18"/>
        </w:rP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rPr>
          <w:rFonts w:ascii="Times New Roman" w:hAnsi="Times New Roman" w:eastAsia="Times New Roman"/>
          <w:b w:val="0"/>
          <w:color w:val="5A5A5A"/>
          <w:sz w:val="18"/>
        </w:rPr>
        <w:t>Fig. 6  Alignment above the sorting bin, vertical release, and drop-point acceptance</w:t>
      </w:r>
    </w:p>
    <w:p>
      <w:pPr>
        <w:pStyle w:val="Heading3"/>
        <w:keepNext/>
        <w:spacing w:before="100" w:after="80"/>
      </w:pPr>
      <w:r>
        <w:rPr>
          <w:rFonts w:ascii="Times New Roman" w:hAnsi="Times New Roman" w:eastAsia="Times New Roman"/>
          <w:b/>
          <w:color w:val="1F4E79"/>
          <w:sz w:val="21"/>
        </w:rP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keepNext/>
        <w:spacing w:before="100" w:after="80"/>
      </w:pPr>
      <w:r>
        <w:rPr>
          <w:rFonts w:ascii="Times New Roman" w:hAnsi="Times New Roman" w:eastAsia="Times New Roman"/>
          <w:b/>
          <w:color w:val="1F4E79"/>
          <w:sz w:val="23"/>
        </w:rPr>
        <w:t>4.2 Phase 2: real-robot validation</w:t>
      </w:r>
    </w:p>
    <w:p>
      <w:pPr>
        <w:pStyle w:val="Heading3"/>
        <w:keepNext/>
        <w:spacing w:before="100" w:after="80"/>
      </w:pPr>
      <w:r>
        <w:rPr>
          <w:rFonts w:ascii="Times New Roman" w:hAnsi="Times New Roman" w:eastAsia="Times New Roman"/>
          <w:b/>
          <w:color w:val="1F4E79"/>
          <w:sz w:val="21"/>
        </w:rPr>
        <w:t>4.2.1 Hardware deployment and calibration</w:t>
      </w:r>
    </w:p>
    <w:p>
      <w:pPr>
        <w:spacing w:line="276" w:lineRule="auto" w:after="100"/>
      </w:pPr>
      <w:r>
        <w:rPr>
          <w:rFonts w:ascii="Times New Roman" w:hAnsi="Times New Roman" w:eastAsia="Times New Roman"/>
          <w:b w:val="0"/>
          <w:color w:val="232323"/>
          <w:sz w:val="20"/>
        </w:rPr>
        <w:t>The perception, task, and execution nodes are deployed on Jetson. A fixed overhead RGB camera is installed, and a calibration board or homography establishes the pixel-to-desktop transformation. HOME, PICK1–PICK6, and the PLACE poses for each color are taught at low speed; approach height, gripper opening, release wait time, and emergency-stop distance are recorded.</w:t>
      </w:r>
    </w:p>
    <w:p>
      <w:pPr>
        <w:pStyle w:val="Heading3"/>
        <w:keepNext/>
        <w:spacing w:before="100" w:after="80"/>
      </w:pPr>
      <w:r>
        <w:rPr>
          <w:rFonts w:ascii="Times New Roman" w:hAnsi="Times New Roman" w:eastAsia="Times New Roman"/>
          <w:b/>
          <w:color w:val="1F4E79"/>
          <w:sz w:val="21"/>
        </w:rPr>
        <w:t>4.2.2 Detection node and task interface</w:t>
      </w:r>
    </w:p>
    <w:p>
      <w:pPr>
        <w:spacing w:line="276" w:lineRule="auto" w:after="100"/>
      </w:pPr>
      <w:r>
        <w:rPr>
          <w:rFonts w:ascii="Times New Roman" w:hAnsi="Times New Roman" w:eastAsia="Times New Roman"/>
          <w:b w:val="0"/>
          <w:color w:val="232323"/>
          <w:sz w:val="20"/>
        </w:rPr>
        <w:t>The YOLOv8 node outputs class labels, confidence scores, and bounding boxes, with message fields consistent with the simulation Detection2DArray. The task node continues to perform confidence filtering, grid mapping, class selection, and exception branching, while the executor replaces simulation control calls with mechArm hardware-control calls.</w:t>
      </w:r>
    </w:p>
    <w:p>
      <w:pPr>
        <w:pStyle w:val="Heading3"/>
        <w:keepNext/>
        <w:spacing w:before="100" w:after="80"/>
      </w:pPr>
      <w:r>
        <w:rPr>
          <w:rFonts w:ascii="Times New Roman" w:hAnsi="Times New Roman" w:eastAsia="Times New Roman"/>
          <w:b/>
          <w:color w:val="1F4E79"/>
          <w:sz w:val="21"/>
        </w:rPr>
        <w:t>4.2.3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rPr>
          <w:rFonts w:ascii="Times New Roman" w:hAnsi="Times New Roman" w:eastAsia="Times New Roman"/>
          <w:b/>
          <w:color w:val="1F4E79"/>
          <w:sz w:val="21"/>
        </w:rPr>
        <w:t>4.2.4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rPr>
          <w:rFonts w:ascii="Times New Roman" w:hAnsi="Times New Roman" w:eastAsia="Times New Roman"/>
          <w:b/>
          <w:color w:val="1F4E79"/>
          <w:sz w:val="23"/>
        </w:rP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b/>
          <w:color w:val="1F4E79"/>
          <w:sz w:val="23"/>
        </w:rP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added class uses the same task interface. Process evidence includes the overhead scene, control panel, waypoint list, and playback view; the object-level success rate is to be calculated from an independent three-class CSV.</w:t>
      </w:r>
    </w:p>
    <w:p>
      <w:pPr>
        <w:pStyle w:val="Heading2"/>
        <w:keepNext/>
        <w:spacing w:before="100" w:after="80"/>
      </w:pPr>
      <w:r>
        <w:rPr>
          <w:rFonts w:ascii="Times New Roman" w:hAnsi="Times New Roman" w:eastAsia="Times New Roman"/>
          <w:b/>
          <w:color w:val="1F4E79"/>
          <w:sz w:val="23"/>
        </w:rPr>
        <w:t>6.3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rPr>
          <w:rFonts w:ascii="Times New Roman" w:hAnsi="Times New Roman" w:eastAsia="Times New Roman"/>
          <w:b w:val="0"/>
          <w:color w:val="5A5A5A"/>
          <w:sz w:val="18"/>
        </w:rPr>
        <w:t>Fig. 7  GUI, state, event, pose, and object-level CSV form the acceptance evidence chain</w:t>
      </w:r>
    </w:p>
    <w:p>
      <w:pPr>
        <w:pStyle w:val="Heading2"/>
        <w:spacing w:line="276" w:lineRule="auto" w:after="100"/>
      </w:pPr>
      <w:r>
        <w:rPr>
          <w:rFonts w:ascii="Times New Roman" w:hAnsi="Times New Roman" w:eastAsia="Times New Roman"/>
          <w:b/>
          <w:color w:val="1F4E79"/>
          <w:sz w:val="23"/>
        </w:rPr>
        <w:t>6.4 Visual Detection Model Training and Deployment</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Times New Roman"/>
          <w:b w:val="0"/>
          <w:color w:val="232323"/>
          <w:sz w:val="20"/>
        </w:rPr>
        <w:t>For simulation, the monitor continues to generate deterministic Detection2DArray messages from Gazebo model states so that the task and execution interfaces remain repeatable. The trained weight is archived separately in models/ for real-camera integration and hardware validation.</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rPr>
          <w:rFonts w:ascii="Times New Roman" w:hAnsi="Times New Roman" w:eastAsia="Times New Roman"/>
          <w:b w:val="0"/>
          <w:color w:val="5A5A5A"/>
          <w:sz w:val="18"/>
        </w:rPr>
        <w:t>Fig. 8  External-camera detection of erasers, a lock, and a stapler</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Times New Roman"/>
          <w:b w:val="0"/>
          <w:color w:val="232323"/>
          <w:sz w:val="20"/>
        </w:rPr>
        <w:t>The group divided the work into perception interfaces, task decisions, robot execution, and system integration. All members integrated their modules under one Launch file, one message-field convention, and one object-level result table.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Group collaboration</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rPr>
          <w:rFonts w:ascii="Times New Roman" w:hAnsi="Times New Roman" w:eastAsia="Times New Roman"/>
          <w:b w:val="0"/>
          <w:color w:val="232323"/>
          <w:sz w:val="20"/>
        </w:rPr>
        <w:t>Experiment 3 extends the fixed-point transfer of Experiment 2 into a desktop organization task that can detect, localize, classify, execute, and record. The system integrates the ROS 2 image and detection interfaces, fixed-grid localization, class-to-bin mapping, the grasp-execution state machine, exception branches, and object-level logs. The six-object red–blue simulation baseline reaches 6/6, and the red–blue–green scene together with the 34-step automatic demonstration is complete.</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Scope of results: the red–blue 6/6 result uses the archived object-level simulation record; the three-class content uses scene, waypoint, and automatic-playback evidence; the real-robot section provides deployment, calibration, execution, and acceptance fields.</w:t>
      </w:r>
    </w:p>
    <w:p>
      <w:pPr>
        <w:spacing w:line="276" w:lineRule="auto" w:after="100"/>
      </w:pPr>
      <w:r>
        <w:rPr>
          <w:rFonts w:ascii="Times New Roman" w:hAnsi="Times New Roman" w:eastAsia="Times New Roman"/>
          <w:b w:val="0"/>
          <w:color w:val="232323"/>
          <w:sz w:val="20"/>
        </w:rPr>
        <w:br w:type="page"/>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rPr>
          <w:rFonts w:ascii="Times New Roman" w:hAnsi="Times New Roman" w:eastAsia="Times New Roman"/>
          <w:b w:val="0"/>
          <w:color w:val="232323"/>
          <w:sz w:val="20"/>
        </w:rPr>
        <w:t>The repository is organized into code, models,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9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