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ind w:firstLine="0" w:left="0" w:right="0"/>
        <w:jc w:val="left"/>
      </w:pPr>
      <w:r>
        <w:rPr>
          <w:rFonts w:ascii="Times New Roman" w:hAnsi="Times New Roman" w:eastAsia="Times New Roman" w:cs="Times New Roman"/>
          <w:b/>
          <w:color w:val="107B7E"/>
          <w:sz w:val="19"/>
        </w:rPr>
        <w:t>ROBOTICS INTEGRATION GROUP PROJECT I  /  GROUP 17</w:t>
      </w:r>
    </w:p>
    <w:p>
      <w:pPr>
        <w:spacing w:before="0" w:after="160" w:line="252" w:lineRule="auto"/>
        <w:ind w:firstLine="0" w:left="0" w:right="0"/>
        <w:jc w:val="left"/>
      </w:pPr>
      <w:r>
        <w:rPr>
          <w:rFonts w:ascii="Times New Roman" w:hAnsi="Times New Roman" w:eastAsia="Times New Roman" w:cs="Times New Roman"/>
          <w:b/>
          <w:color w:val="107B7E"/>
          <w:sz w:val="22"/>
        </w:rPr>
        <w:t>EXPERIMENT 03</w:t>
      </w:r>
    </w:p>
    <w:p>
      <w:pPr>
        <w:pStyle w:val="Title"/>
        <w:spacing w:before="0" w:after="240" w:line="240" w:lineRule="auto"/>
        <w:ind w:left="0" w:right="0" w:firstLine="0"/>
        <w:jc w:val="left"/>
      </w:pPr>
      <w:r>
        <w:rPr>
          <w:rFonts w:ascii="Georgia" w:hAnsi="Georgia" w:eastAsia="Georgia" w:cs="Georgia"/>
          <w:b/>
          <w:color w:val="1B3E5B"/>
          <w:sz w:val="48"/>
        </w:rPr>
        <w:t>Desktop Object Automatic</w:t>
        <w:br/>
        <w:t>Sorting and Organization</w:t>
      </w:r>
    </w:p>
    <w:p>
      <w:pPr>
        <w:spacing w:before="0" w:after="400" w:line="240" w:lineRule="auto"/>
        <w:ind w:left="0" w:right="0" w:firstLine="0"/>
        <w:jc w:val="left"/>
      </w:pPr>
      <w:r>
        <w:rPr>
          <w:rFonts w:ascii="Times New Roman" w:hAnsi="Times New Roman" w:eastAsia="Times New Roman" w:cs="Times New Roman"/>
          <w:b/>
          <w:color w:val="4B5560"/>
          <w:sz w:val="21"/>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Times New Roman" w:cs="Times New Roman"/>
                <w:b/>
                <w:color w:val="1B3E5B"/>
                <w:sz w:val="18"/>
              </w:rPr>
              <w:t>Gazebo sorting</w:t>
            </w:r>
          </w:p>
          <w:p>
            <w:pPr>
              <w:spacing w:after="100"/>
              <w:jc w:val="center"/>
            </w:pPr>
            <w:r>
              <w:rPr>
                <w:rFonts w:ascii="Times New Roman" w:hAnsi="Times New Roman" w:eastAsia="Times New Roman" w:cs="Times New Roman"/>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Camera detection</w:t>
            </w:r>
          </w:p>
          <w:p>
            <w:pPr>
              <w:spacing w:after="100"/>
              <w:jc w:val="center"/>
            </w:pPr>
            <w:r>
              <w:rPr>
                <w:rFonts w:ascii="Times New Roman" w:hAnsi="Times New Roman" w:eastAsia="Times New Roman" w:cs="Times New Roman"/>
                <w:b w:val="0"/>
                <w:color w:val="4B5560"/>
                <w:sz w:val="16"/>
              </w:rPr>
              <w:t>Eraser  ·  Lock  ·  Stapler</w:t>
            </w:r>
          </w:p>
        </w:tc>
        <w:tc>
          <w:tcPr>
            <w:tcW w:type="dxa" w:w="2995"/>
            <w:vAlign w:val="center"/>
            <w:shd w:fill="EDF5F8"/>
          </w:tcPr>
          <w:p>
            <w:pPr>
              <w:spacing w:before="100" w:after="20"/>
              <w:jc w:val="center"/>
            </w:pPr>
            <w:r>
              <w:rPr>
                <w:rFonts w:ascii="Times New Roman" w:hAnsi="Times New Roman" w:eastAsia="Times New Roman" w:cs="Times New Roman"/>
                <w:b/>
                <w:color w:val="1B3E5B"/>
                <w:sz w:val="18"/>
              </w:rPr>
              <w:t>Next stage</w:t>
            </w:r>
          </w:p>
          <w:p>
            <w:pPr>
              <w:spacing w:after="100"/>
              <w:jc w:val="center"/>
            </w:pPr>
            <w:r>
              <w:rPr>
                <w:rFonts w:ascii="Times New Roman" w:hAnsi="Times New Roman" w:eastAsia="Times New Roman" w:cs="Times New Roman"/>
                <w:b w:val="0"/>
                <w:color w:val="4B5560"/>
                <w:sz w:val="16"/>
              </w:rPr>
              <w:t>Real robot integration</w:t>
            </w:r>
          </w:p>
        </w:tc>
      </w:tr>
    </w:tbl>
    <w:p>
      <w:pPr>
        <w:spacing w:before="360" w:after="40"/>
        <w:ind w:firstLine="0" w:left="0" w:right="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ind w:firstLine="0" w:left="0" w:right="0"/>
        <w:jc w:val="center"/>
      </w:pPr>
      <w:r>
        <w:rPr>
          <w:rFonts w:ascii="Times New Roman" w:hAnsi="Times New Roman" w:eastAsia="Times New Roman" w:cs="Times New Roman"/>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Times New Roman" w:cs="Times New Roman"/>
                <w:b/>
                <w:color w:val="107B7E"/>
                <w:sz w:val="18"/>
              </w:rPr>
              <w:t>Course</w:t>
            </w:r>
          </w:p>
        </w:tc>
        <w:tc>
          <w:tcPr>
            <w:tcW w:type="dxa" w:w="7560"/>
            <w:vAlign w:val="center"/>
          </w:tcPr>
          <w:p>
            <w:pPr>
              <w:spacing w:before="80" w:after="80"/>
            </w:pPr>
            <w:r>
              <w:rPr>
                <w:rFonts w:ascii="Times New Roman" w:hAnsi="Times New Roman" w:eastAsia="Times New Roman" w:cs="Times New Roman"/>
                <w:b w:val="0"/>
                <w:color w:val="1B3E5B"/>
                <w:sz w:val="18"/>
              </w:rPr>
              <w:t>Robotics Integration Group Project I</w:t>
            </w:r>
          </w:p>
        </w:tc>
      </w:tr>
      <w:tr>
        <w:tc>
          <w:tcPr>
            <w:tcW w:type="dxa" w:w="1440"/>
            <w:vAlign w:val="center"/>
          </w:tcPr>
          <w:p>
            <w:pPr>
              <w:spacing w:before="80" w:after="80"/>
            </w:pPr>
            <w:r>
              <w:rPr>
                <w:rFonts w:ascii="Times New Roman" w:hAnsi="Times New Roman" w:eastAsia="Times New Roman" w:cs="Times New Roman"/>
                <w:b/>
                <w:color w:val="107B7E"/>
                <w:sz w:val="18"/>
              </w:rPr>
              <w:t>Team</w:t>
            </w:r>
          </w:p>
        </w:tc>
        <w:tc>
          <w:tcPr>
            <w:tcW w:type="dxa" w:w="7560"/>
            <w:vAlign w:val="center"/>
          </w:tcPr>
          <w:p>
            <w:pPr>
              <w:spacing w:before="80" w:after="80"/>
            </w:pPr>
            <w:r>
              <w:rPr>
                <w:rFonts w:ascii="Times New Roman" w:hAnsi="Times New Roman" w:eastAsia="Times New Roman" w:cs="Times New Roman"/>
                <w:b w:val="0"/>
                <w:color w:val="1B3E5B"/>
                <w:sz w:val="18"/>
              </w:rPr>
              <w:t>Group 17  ·  Yang Muqing, Lan Songyu, Zhang Kairui, Zhao Hang</w:t>
            </w:r>
          </w:p>
        </w:tc>
      </w:tr>
    </w:tbl>
    <w:p>
      <w:pPr>
        <w:spacing w:before="320" w:after="80" w:line="252" w:lineRule="auto"/>
        <w:ind w:firstLine="0" w:left="0" w:right="0"/>
        <w:jc w:val="left"/>
      </w:pPr>
      <w:r>
        <w:rPr>
          <w:rFonts w:ascii="Times New Roman" w:hAnsi="Times New Roman" w:eastAsia="Times New Roman" w:cs="Times New Roman"/>
          <w:b/>
          <w:color w:val="107B7E"/>
          <w:sz w:val="17"/>
        </w:rPr>
        <w:t>PROJECT REPOSITORY</w:t>
      </w:r>
    </w:p>
    <w:p>
      <w:pPr>
        <w:spacing w:before="0" w:after="160" w:line="252" w:lineRule="auto"/>
        <w:ind w:firstLine="0" w:left="0" w:right="0"/>
        <w:jc w:val="left"/>
      </w:pPr>
      <w:r>
        <w:rPr>
          <w:rFonts w:ascii="Times New Roman" w:hAnsi="Times New Roman" w:eastAsia="Times New Roman" w:cs="Times New Roman"/>
          <w:b w:val="0"/>
          <w:color w:val="1B3E5B"/>
          <w:sz w:val="19"/>
        </w:rPr>
        <w:t>https://github.com/9161942-boop/robotics-experiment-3</w:t>
      </w:r>
    </w:p>
    <w:p>
      <w:pPr>
        <w:spacing w:before="0" w:after="0" w:line="252" w:lineRule="auto"/>
        <w:ind w:firstLine="0" w:left="0" w:right="0"/>
        <w:jc w:val="left"/>
      </w:pPr>
      <w:r>
        <w:rPr>
          <w:rFonts w:ascii="Times New Roman" w:hAnsi="Times New Roman" w:eastAsia="Times New Roman" w:cs="Times New Roman"/>
          <w:b w:val="0"/>
          <w:color w:val="4B5560"/>
          <w:sz w:val="18"/>
        </w:rPr>
        <w:t>SEPTEMBER 2026</w:t>
      </w:r>
    </w:p>
    <w:p>
      <w:pPr>
        <w:pStyle w:val="Heading1"/>
        <w:keepNext/>
        <w:pageBreakBefore/>
        <w:spacing w:before="180" w:after="80"/>
      </w:pPr>
      <w:r>
        <w:rPr>
          <w:rFonts w:ascii="Times New Roman" w:hAnsi="Times New Roman" w:eastAsia="Times New Roman" w:cs="Times New Roman"/>
          <w:b/>
          <w:color w:val="1F4E79"/>
          <w:sz w:val="30"/>
        </w:rPr>
        <w:t>Abstract</w:t>
      </w:r>
    </w:p>
    <w:p>
      <w:pPr>
        <w:spacing w:line="276" w:lineRule="auto" w:after="100"/>
      </w:pPr>
      <w:r>
        <w:rPr>
          <w:rFonts w:ascii="Times New Roman" w:hAnsi="Times New Roman" w:eastAsia="Times New Roman" w:cs="Times New Roma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Times New Roman" w:cs="Times New Roma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Times New Roman" w:cs="Times New Roma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cs="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cs="Times New Roman"/>
          <w:b/>
          <w:color w:val="1F4E79"/>
          <w:sz w:val="30"/>
        </w:rPr>
        <w:t>1 Experiment objectives</w:t>
      </w:r>
    </w:p>
    <w:p>
      <w:pPr>
        <w:pStyle w:val="Heading2"/>
        <w:keepNext/>
        <w:spacing w:before="100" w:after="80"/>
      </w:pPr>
      <w:r>
        <w:rPr>
          <w:rFonts w:ascii="Times New Roman" w:hAnsi="Times New Roman" w:eastAsia="Times New Roman" w:cs="Times New Roman"/>
          <w:b/>
          <w:color w:val="1F4E79"/>
          <w:sz w:val="23"/>
        </w:rPr>
        <w:t>1.1 Task objective</w:t>
      </w:r>
    </w:p>
    <w:p>
      <w:pPr>
        <w:spacing w:line="276" w:lineRule="auto" w:after="100"/>
      </w:pPr>
      <w:r>
        <w:rPr>
          <w:rFonts w:ascii="Times New Roman" w:hAnsi="Times New Roman" w:eastAsia="Times New Roman" w:cs="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cs="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cs="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2 Principle</w:t>
      </w:r>
    </w:p>
    <w:p>
      <w:pPr>
        <w:pStyle w:val="Heading2"/>
        <w:keepNext/>
        <w:spacing w:before="100" w:after="80"/>
      </w:pPr>
      <w:r>
        <w:rPr>
          <w:rFonts w:ascii="Times New Roman" w:hAnsi="Times New Roman" w:eastAsia="Times New Roman" w:cs="Times New Roman"/>
          <w:b/>
          <w:color w:val="1F4E79"/>
          <w:sz w:val="23"/>
        </w:rPr>
        <w:t>2.1 Overall system architecture</w:t>
      </w:r>
    </w:p>
    <w:p>
      <w:pPr>
        <w:spacing w:line="276" w:lineRule="auto" w:after="100"/>
      </w:pPr>
      <w:r>
        <w:rPr>
          <w:rFonts w:ascii="Times New Roman" w:hAnsi="Times New Roman" w:eastAsia="Times New Roman" w:cs="Times New Roma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cs="Times New Roman"/>
          <w:sz w:val="18"/>
        </w:rPr>
        <w:t>Fig. 1  Gazebo sorting and external-camera detection as separate validation paths</w:t>
      </w:r>
    </w:p>
    <w:p>
      <w:pPr>
        <w:pStyle w:val="Heading2"/>
      </w:pPr>
      <w:r>
        <w:rPr>
          <w:rFonts w:ascii="Times New Roman" w:hAnsi="Times New Roman" w:eastAsia="Times New Roman" w:cs="Times New Roman"/>
          <w:sz w:val="23"/>
        </w:rPr>
        <w:t>2.2 Visual Detection and Message Interface</w:t>
      </w:r>
    </w:p>
    <w:p>
      <w:pPr>
        <w:spacing w:line="276" w:lineRule="auto" w:after="100"/>
      </w:pPr>
      <w:r>
        <w:rPr>
          <w:rFonts w:ascii="Times New Roman" w:hAnsi="Times New Roman" w:eastAsia="Times New Roman" w:cs="Times New Roma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rPr>
          <w:rFonts w:ascii="Times New Roman" w:hAnsi="Times New Roman" w:eastAsia="Times New Roman" w:cs="Times New Roman"/>
          <w:sz w:val="23"/>
        </w:rP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cs="Times New Roman"/>
          <w:sz w:val="23"/>
        </w:rPr>
        <w:t>2.4 Exception-handling principle</w:t>
      </w:r>
    </w:p>
    <w:p>
      <w:pPr>
        <w:spacing w:line="276" w:lineRule="auto" w:after="100"/>
      </w:pPr>
      <w:r>
        <w:rPr>
          <w:rFonts w:ascii="Times New Roman" w:hAnsi="Times New Roman" w:eastAsia="Times New Roman" w:cs="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3 Experimental environment and equipment</w:t>
      </w:r>
    </w:p>
    <w:p>
      <w:pPr>
        <w:pStyle w:val="Heading2"/>
        <w:keepNext/>
        <w:spacing w:before="100" w:after="80"/>
      </w:pPr>
      <w:r>
        <w:rPr>
          <w:rFonts w:ascii="Times New Roman" w:hAnsi="Times New Roman" w:eastAsia="Times New Roman" w:cs="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cs="Times New Roman"/>
          <w:sz w:val="18"/>
        </w:rPr>
        <w:t>Fig. 2  Gazebo three-class scene: six picking cells and aligned sorting bins</w:t>
      </w:r>
    </w:p>
    <w:p>
      <w:pPr>
        <w:pStyle w:val="Heading2"/>
        <w:keepNext/>
        <w:spacing w:before="100" w:after="80"/>
      </w:pPr>
      <w:r>
        <w:rPr>
          <w:rFonts w:ascii="Times New Roman" w:hAnsi="Times New Roman" w:eastAsia="Times New Roman" w:cs="Times New Roman"/>
          <w:b/>
          <w:color w:val="1F4E79"/>
          <w:sz w:val="23"/>
        </w:rPr>
        <w:t>3.2 Real-robot hardware and deployment configuration</w:t>
      </w:r>
    </w:p>
    <w:p>
      <w:pPr>
        <w:spacing w:line="276" w:lineRule="auto" w:after="100"/>
      </w:pPr>
      <w:r>
        <w:rPr>
          <w:rFonts w:ascii="Times New Roman" w:hAnsi="Times New Roman" w:eastAsia="Times New Roman" w:cs="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4 Experimental procedure</w:t>
      </w:r>
    </w:p>
    <w:p>
      <w:pPr>
        <w:pStyle w:val="Heading2"/>
        <w:keepNext/>
        <w:spacing w:before="100" w:after="80"/>
      </w:pPr>
      <w:r>
        <w:rPr>
          <w:rFonts w:ascii="Times New Roman" w:hAnsi="Times New Roman" w:eastAsia="Times New Roman" w:cs="Times New Roman"/>
          <w:b/>
          <w:color w:val="1F4E79"/>
          <w:sz w:val="23"/>
        </w:rPr>
        <w:t>4.1 Phase 1: simulation development</w:t>
      </w:r>
    </w:p>
    <w:p>
      <w:pPr>
        <w:pStyle w:val="Heading3"/>
        <w:keepNext/>
        <w:spacing w:before="100" w:after="80"/>
      </w:pPr>
      <w:r>
        <w:rPr>
          <w:rFonts w:ascii="Times New Roman" w:hAnsi="Times New Roman" w:eastAsia="Times New Roman" w:cs="Times New Roman"/>
          <w:sz w:val="21"/>
        </w:rPr>
        <w:t>4.1.1 Scene construction and parameter synchronization</w:t>
      </w:r>
    </w:p>
    <w:p>
      <w:pPr>
        <w:spacing w:line="276" w:lineRule="auto" w:after="100"/>
      </w:pPr>
      <w:r>
        <w:rPr>
          <w:rFonts w:ascii="Times New Roman" w:hAnsi="Times New Roman" w:eastAsia="Times New Roman" w:cs="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cs="Times New Roman"/>
          <w:sz w:val="21"/>
        </w:rPr>
        <w:t>4.1.2 Manual teaching and single-object debugging</w:t>
      </w:r>
    </w:p>
    <w:p>
      <w:pPr>
        <w:spacing w:line="276" w:lineRule="auto" w:after="100"/>
      </w:pPr>
      <w:r>
        <w:rPr>
          <w:rFonts w:ascii="Times New Roman" w:hAnsi="Times New Roman" w:eastAsia="Times New Roman" w:cs="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cs="Times New Roman"/>
          <w:sz w:val="18"/>
        </w:rPr>
        <w:t>Fig. 3  Manual control panel, six-joint adjustment, and semantic waypoint editing</w:t>
      </w:r>
    </w:p>
    <w:p>
      <w:pPr>
        <w:pStyle w:val="Heading3"/>
        <w:keepNext/>
        <w:spacing w:before="100" w:after="80"/>
      </w:pPr>
      <w:r>
        <w:rPr>
          <w:rFonts w:ascii="Times New Roman" w:hAnsi="Times New Roman" w:eastAsia="Times New Roman" w:cs="Times New Roman"/>
          <w:sz w:val="21"/>
        </w:rPr>
        <w:t>4.1.3 Automatic playback and one-command launch</w:t>
      </w:r>
    </w:p>
    <w:p>
      <w:pPr>
        <w:spacing w:line="276" w:lineRule="auto" w:after="100"/>
      </w:pPr>
      <w:r>
        <w:rPr>
          <w:rFonts w:ascii="Times New Roman" w:hAnsi="Times New Roman" w:eastAsia="Times New Roman" w:cs="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cs="Times New Roman"/>
          <w:sz w:val="18"/>
        </w:rPr>
        <w:t>Fig. 4  Six target subsequences and the 34-step automatic playback timing</w:t>
      </w:r>
    </w:p>
    <w:p>
      <w:pPr>
        <w:pStyle w:val="Heading3"/>
        <w:keepNext/>
        <w:spacing w:before="100" w:after="80"/>
      </w:pPr>
      <w:r>
        <w:rPr>
          <w:rFonts w:ascii="Times New Roman" w:hAnsi="Times New Roman" w:eastAsia="Times New Roman" w:cs="Times New Roman"/>
          <w:sz w:val="21"/>
        </w:rPr>
        <w:t>4.1.4 Grasping, transfer, and release</w:t>
      </w:r>
    </w:p>
    <w:p>
      <w:pPr>
        <w:spacing w:line="276" w:lineRule="auto" w:after="100"/>
      </w:pPr>
      <w:r>
        <w:rPr>
          <w:rFonts w:ascii="Times New Roman" w:hAnsi="Times New Roman" w:eastAsia="Times New Roman" w:cs="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cs="Times New Roman"/>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cs="Times New Roman"/>
          <w:sz w:val="18"/>
        </w:rPr>
        <w:t>Fig. 6  Alignment above the sorting bin, vertical release, and drop-point acceptance</w:t>
      </w:r>
    </w:p>
    <w:p>
      <w:pPr>
        <w:pStyle w:val="Heading3"/>
        <w:keepNext/>
        <w:spacing w:before="100" w:after="80"/>
      </w:pPr>
      <w:r>
        <w:rPr>
          <w:rFonts w:ascii="Times New Roman" w:hAnsi="Times New Roman" w:eastAsia="Times New Roman" w:cs="Times New Roman"/>
          <w:sz w:val="21"/>
        </w:rPr>
        <w:t>4.1.5 Simulation acceptance records</w:t>
      </w:r>
    </w:p>
    <w:p>
      <w:pPr>
        <w:spacing w:line="276" w:lineRule="auto" w:after="100"/>
      </w:pPr>
      <w:r>
        <w:rPr>
          <w:rFonts w:ascii="Times New Roman" w:hAnsi="Times New Roman" w:eastAsia="Times New Roman" w:cs="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rPr>
          <w:rFonts w:ascii="Times New Roman" w:hAnsi="Times New Roman" w:eastAsia="Times New Roman" w:cs="Times New Roman"/>
          <w:sz w:val="23"/>
        </w:rPr>
        <w:t>4.2 Three-class detector and external-camera test</w:t>
      </w:r>
    </w:p>
    <w:p>
      <w:pPr>
        <w:spacing w:line="276" w:lineRule="auto" w:after="100"/>
      </w:pPr>
      <w:r>
        <w:rPr>
          <w:rFonts w:ascii="Times New Roman" w:hAnsi="Times New Roman" w:eastAsia="Times New Roman" w:cs="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cs="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cs="Times New Roman"/>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Figure 7 shows external-camera results under two grid arrangements. Erasers, the lock, and the stapler are correctly localized with confidence from 0.84 to 0.95, while the displayed end-to-end rate is 31.7-32.0 FPS. The reported 1.1 ms is the single-image model inference time; the displayed FPS also includes camera capture and rendering overhead.</w:t>
      </w:r>
    </w:p>
    <w:p>
      <w:pPr>
        <w:spacing w:line="276" w:lineRule="auto" w:after="100"/>
      </w:pPr>
      <w:r>
        <w:rPr>
          <w:rFonts w:ascii="Times New Roman" w:hAnsi="Times New Roman" w:eastAsia="Times New Roman" w:cs="Times New Roma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rFonts w:ascii="Times New Roman" w:hAnsi="Times New Roman" w:eastAsia="Times New Roman" w:cs="Times New Roman"/>
          <w:sz w:val="18"/>
        </w:rPr>
        <w:t>Fig. 7  Three-class detection under two grid arrangements (left: arrangement 1; right: arrangement 2)</w:t>
      </w:r>
    </w:p>
    <w:p>
      <w:pPr>
        <w:pStyle w:val="Heading2"/>
        <w:keepNext/>
        <w:spacing w:before="100" w:after="80"/>
      </w:pPr>
      <w:r>
        <w:rPr>
          <w:rFonts w:ascii="Times New Roman" w:hAnsi="Times New Roman" w:eastAsia="Times New Roman" w:cs="Times New Roman"/>
          <w:sz w:val="23"/>
        </w:rPr>
        <w:t>4.3 Physical-arm demonstration method and integration plan</w:t>
      </w:r>
    </w:p>
    <w:p>
      <w:pPr/>
      <w:r>
        <w:rPr>
          <w:rFonts w:ascii="Times New Roman" w:hAnsi="Times New Roman" w:eastAsia="Times New Roman" w:cs="Times New Roman"/>
          <w:sz w:val="20"/>
        </w:rPr>
        <w:t>To examine whether the approach, grasp, and lift motions established in simulation could be transferred to the physical arm, the team performed a low-speed single-target demonstration on a tabletop grid marked with blue tape. The arm approached a small yellow lock from above, descended vertically until the two fingers were positioned on opposite sides, closed the gripper, and lifted the target. Figure 8 is taken at 01:22 and is used to inspect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rPr>
          <w:rFonts w:ascii="Times New Roman" w:hAnsi="Times New Roman" w:eastAsia="Times New Roman" w:cs="Times New Roman"/>
          <w:sz w:val="18"/>
        </w:rPr>
        <w:t>Fig. 8  Physical-arm demonstration: a small lock held above the desktop grid (video at 01:22)</w:t>
      </w:r>
    </w:p>
    <w:p>
      <w:pPr/>
      <w:r>
        <w:rPr>
          <w:rFonts w:ascii="Times New Roman" w:hAnsi="Times New Roman" w:eastAsia="Times New Roman" w:cs="Times New Roman"/>
          <w:sz w:val="20"/>
        </w:rPr>
        <w:t>The hardware materials document object recognition, correction handling, and robot grasping. The recognition-and-correction video shows the six objects in two classes being identified and the task continuing after a correction is applied; the grasp video is used to inspect the physical approach, closure, and lift. The following subsections summarize the deployment, interface, and acceptance procedure.</w:t>
      </w:r>
    </w:p>
    <w:p>
      <w:pPr>
        <w:pStyle w:val="Heading3"/>
        <w:keepNext/>
        <w:spacing w:before="100" w:after="80"/>
      </w:pPr>
      <w:r>
        <w:rPr>
          <w:rFonts w:ascii="Times New Roman" w:hAnsi="Times New Roman" w:eastAsia="Times New Roman" w:cs="Times New Roman"/>
          <w:sz w:val="21"/>
        </w:rPr>
        <w:t>4.3.1 Hardware deployment and calibration</w:t>
      </w:r>
    </w:p>
    <w:p>
      <w:pPr>
        <w:spacing w:line="276" w:lineRule="auto" w:after="100"/>
      </w:pPr>
      <w:r>
        <w:rPr>
          <w:rFonts w:ascii="Times New Roman" w:hAnsi="Times New Roman" w:eastAsia="Times New Roman" w:cs="Times New Roman"/>
          <w:sz w:val="20"/>
        </w:rP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rPr>
          <w:rFonts w:ascii="Times New Roman" w:hAnsi="Times New Roman" w:eastAsia="Times New Roman" w:cs="Times New Roman"/>
          <w:sz w:val="21"/>
        </w:rPr>
        <w:t>4.3.2 Detection node and task interface</w:t>
      </w:r>
    </w:p>
    <w:p>
      <w:pPr>
        <w:spacing w:line="276" w:lineRule="auto" w:after="100"/>
      </w:pPr>
      <w:r>
        <w:rPr>
          <w:rFonts w:ascii="Times New Roman" w:hAnsi="Times New Roman" w:eastAsia="Times New Roman" w:cs="Times New Roma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rPr>
          <w:rFonts w:ascii="Times New Roman" w:hAnsi="Times New Roman" w:eastAsia="Times New Roman" w:cs="Times New Roman"/>
          <w:sz w:val="21"/>
        </w:rPr>
        <w:t>4.3.3 Validation sequence from one target to six targets</w:t>
      </w:r>
    </w:p>
    <w:p>
      <w:pPr>
        <w:spacing w:line="276" w:lineRule="auto" w:after="100"/>
      </w:pPr>
      <w:r>
        <w:rPr>
          <w:rFonts w:ascii="Times New Roman" w:hAnsi="Times New Roman" w:eastAsia="Times New Roman" w:cs="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cs="Times New Roman"/>
          <w:sz w:val="21"/>
        </w:rP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5 Problem analysis and discussion</w:t>
      </w:r>
    </w:p>
    <w:p>
      <w:pPr>
        <w:pStyle w:val="Heading2"/>
        <w:keepNext/>
        <w:spacing w:before="100" w:after="80"/>
      </w:pPr>
      <w:r>
        <w:rPr>
          <w:rFonts w:ascii="Times New Roman" w:hAnsi="Times New Roman" w:eastAsia="Times New Roman" w:cs="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5.3 System limitations and improvement directions</w:t>
      </w:r>
    </w:p>
    <w:p>
      <w:pPr>
        <w:spacing w:line="276" w:lineRule="auto" w:after="100"/>
      </w:pPr>
      <w:r>
        <w:rPr>
          <w:rFonts w:ascii="Times New Roman" w:hAnsi="Times New Roman" w:eastAsia="Times New Roman" w:cs="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cs="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cs="Times New Roman"/>
          <w:b/>
          <w:color w:val="1F4E79"/>
          <w:sz w:val="30"/>
        </w:rPr>
        <w:t>6 Experimental results and acceptance evidence</w:t>
      </w:r>
    </w:p>
    <w:p>
      <w:pPr>
        <w:pStyle w:val="Heading2"/>
        <w:keepNext/>
        <w:spacing w:before="100" w:after="80"/>
      </w:pPr>
      <w:r>
        <w:rPr>
          <w:rFonts w:ascii="Times New Roman" w:hAnsi="Times New Roman" w:eastAsia="Times New Roman" w:cs="Times New Roman"/>
          <w:sz w:val="23"/>
        </w:rPr>
        <w:t>6.1 Quantitative red–blue baseline with six objects</w:t>
      </w:r>
    </w:p>
    <w:p>
      <w:pPr>
        <w:spacing w:line="276" w:lineRule="auto" w:after="100"/>
      </w:pPr>
      <w:r>
        <w:rPr>
          <w:rFonts w:ascii="Times New Roman" w:hAnsi="Times New Roman" w:eastAsia="Times New Roman" w:cs="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cs="Times New Roman"/>
          <w:sz w:val="23"/>
        </w:rPr>
        <w:t>6.2 Three-class extension</w:t>
      </w:r>
    </w:p>
    <w:p>
      <w:pPr>
        <w:spacing w:line="276" w:lineRule="auto" w:after="100"/>
      </w:pPr>
      <w:r>
        <w:rPr>
          <w:rFonts w:ascii="Times New Roman" w:hAnsi="Times New Roman" w:eastAsia="Times New Roman" w:cs="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object-level success rate is to be calculated from an independent three-class CSV.</w:t>
      </w:r>
    </w:p>
    <w:p>
      <w:pPr>
        <w:pStyle w:val="Heading2"/>
      </w:pPr>
      <w:r>
        <w:rPr>
          <w:rFonts w:ascii="Times New Roman" w:hAnsi="Times New Roman" w:eastAsia="Times New Roman" w:cs="Times New Roman"/>
          <w:sz w:val="23"/>
        </w:rPr>
        <w:t>6.3 Three-class detector evaluation</w:t>
      </w:r>
    </w:p>
    <w:p>
      <w:pPr/>
      <w:r>
        <w:rPr>
          <w:rFonts w:ascii="Times New Roman" w:hAnsi="Times New Roman" w:eastAsia="Times New Roman" w:cs="Times New Roman"/>
          <w:sz w:val="20"/>
        </w:rPr>
        <w:t>The independent validation record reports overall and per-class mAP50=0.995 and mAP50-95=0.995, with precision=1.0 and recall=1.0. The two external-camera views in Fig. 7 further demonstrate detection of erasers, a lock, and a stapler when grid positions and object arrangements change. Confidence ranges from 0.84 to 0.95, and the displayed rates are 31.7 FPS and 32.0 FPS. This evidence evaluates external-camera visual detection; the system-level recognition and correction process is verified by the physical test video in Section 6.4.</w:t>
      </w:r>
    </w:p>
    <w:p>
      <w:pPr>
        <w:pStyle w:val="Heading2"/>
      </w:pPr>
      <w:r>
        <w:rPr>
          <w:rFonts w:ascii="Times New Roman" w:hAnsi="Times New Roman" w:eastAsia="Times New Roman" w:cs="Times New Roman"/>
          <w:sz w:val="23"/>
        </w:rPr>
        <w:t>6.4 Recognition, correction, and physical-arm results</w:t>
      </w:r>
    </w:p>
    <w:p>
      <w:pPr/>
      <w:r>
        <w:rPr>
          <w:rFonts w:ascii="Times New Roman" w:hAnsi="Times New Roman" w:eastAsia="Times New Roman" w:cs="Times New Roman"/>
          <w:sz w:val="20"/>
        </w:rPr>
        <w:t>The hardware acceptance contains two complementary videos. A 1 min 11 s recording verifies correct recognition of six objects in two classes and shows the system entering its correction process, confirming the target again, and continuing the task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Times New Roman" w:cs="Times New Roman"/>
          <w:sz w:val="20"/>
        </w:rPr>
        <w:t>Together, the recordings verify target recognition, correction handling, and the physical approach, grasp, and lift. The recognition output, correction process, and robot motion can be reviewed directly from the videos, so the real-robot acceptance item for six objects in two classes is recorded as passed.</w:t>
      </w:r>
    </w:p>
    <w:p>
      <w:pPr>
        <w:pStyle w:val="Heading2"/>
        <w:keepNext/>
        <w:spacing w:before="100" w:after="80"/>
      </w:pPr>
      <w:r>
        <w:rPr>
          <w:rFonts w:ascii="Times New Roman" w:hAnsi="Times New Roman" w:eastAsia="Times New Roman" w:cs="Times New Roman"/>
          <w:sz w:val="23"/>
        </w:rPr>
        <w:t>6.5 Multi-layer evidence chain</w:t>
      </w:r>
    </w:p>
    <w:p>
      <w:pPr>
        <w:spacing w:line="276" w:lineRule="auto" w:after="100"/>
      </w:pPr>
      <w:r>
        <w:rPr>
          <w:rFonts w:ascii="Times New Roman" w:hAnsi="Times New Roman" w:eastAsia="Times New Roman" w:cs="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cs="Times New Roman"/>
          <w:sz w:val="18"/>
        </w:rPr>
        <w:t>Fig. 9  GUI, state, event, pose, and object-level CSV form the acceptance evidence chain</w:t>
      </w:r>
    </w:p>
    <w:p>
      <w:pPr>
        <w:pStyle w:val="Heading1"/>
        <w:keepNext/>
        <w:spacing w:before="180" w:after="80"/>
      </w:pPr>
      <w:r>
        <w:rPr>
          <w:rFonts w:ascii="Times New Roman" w:hAnsi="Times New Roman" w:eastAsia="Times New Roman" w:cs="Times New Roman"/>
          <w:b/>
          <w:color w:val="1F4E79"/>
          <w:sz w:val="30"/>
        </w:rPr>
        <w:t>7 Group responsibilities</w:t>
      </w:r>
    </w:p>
    <w:p>
      <w:pPr>
        <w:spacing w:line="276" w:lineRule="auto" w:after="100"/>
      </w:pPr>
      <w:r>
        <w:rPr>
          <w:rFonts w:ascii="Times New Roman" w:hAnsi="Times New Roman" w:eastAsia="Times New Roman" w:cs="Times New Roman"/>
          <w:sz w:val="20"/>
        </w:rPr>
        <w:t>The group divided the work into camera-model training, Gazebo scene and synthetic-detection setup, task decisions, robot execution, and integration testing. The camera test and Gazebo sorting run have separate evidence: detection frames and object-level execution records. Integrating these interfaces remains part of the hardware phase.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cs="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cs="Times New Roman"/>
          <w:b/>
          <w:color w:val="1F4E79"/>
          <w:sz w:val="30"/>
        </w:rPr>
        <w:t>8 Conclusions and submitted materials</w:t>
      </w:r>
    </w:p>
    <w:p>
      <w:pPr>
        <w:pStyle w:val="Heading2"/>
        <w:keepNext/>
        <w:spacing w:before="100" w:after="80"/>
      </w:pPr>
      <w:r>
        <w:rPr>
          <w:rFonts w:ascii="Times New Roman" w:hAnsi="Times New Roman" w:eastAsia="Times New Roman" w:cs="Times New Roman"/>
          <w:b/>
          <w:color w:val="1F4E79"/>
          <w:sz w:val="23"/>
        </w:rPr>
        <w:t>8.1 Conclusions</w:t>
      </w:r>
    </w:p>
    <w:p>
      <w:pPr>
        <w:spacing w:line="276" w:lineRule="auto" w:after="100"/>
      </w:pPr>
      <w:r>
        <w:rPr>
          <w:rFonts w:ascii="Times New Roman" w:hAnsi="Times New Roman" w:eastAsia="Times New Roman" w:cs="Times New Roman"/>
          <w:sz w:val="20"/>
        </w:rP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cs="Times New Roman"/>
          <w:b w:val="0"/>
          <w:color w:val="232323"/>
          <w:sz w:val="20"/>
        </w:rPr>
        <w:t>Hardware validation followed camera calibration, low-speed single-target testing, six objects in two classes, and correction testing. The acceptance item passed; future work will refine detection stability, grid mapping, release accuracy, and safety parameters.</w:t>
      </w:r>
    </w:p>
    <w:p>
      <w:pPr>
        <w:pStyle w:val="Heading2"/>
        <w:keepNext/>
        <w:spacing w:before="100" w:after="80"/>
      </w:pPr>
      <w:r>
        <w:rPr>
          <w:rFonts w:ascii="Times New Roman" w:hAnsi="Times New Roman" w:eastAsia="Times New Roman" w:cs="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cs="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cs="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cs="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cs="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cs="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cs="Times New Roman"/>
          <w:b/>
          <w:color w:val="1F4E79"/>
          <w:sz w:val="23"/>
        </w:rPr>
        <w:t>8.3 GitHub synchronization record</w:t>
      </w:r>
    </w:p>
    <w:p>
      <w:pPr>
        <w:spacing w:after="100" w:line="276" w:lineRule="auto"/>
      </w:pPr>
      <w:r>
        <w:rPr>
          <w:rFonts w:ascii="Times New Roman" w:hAnsi="Times New Roman" w:eastAsia="Times New Roman" w:cs="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160" w:after="60"/>
        <w:jc w:val="center"/>
      </w:pPr>
      <w:r>
        <w:drawing>
          <wp:inline xmlns:a="http://schemas.openxmlformats.org/drawingml/2006/main" xmlns:pic="http://schemas.openxmlformats.org/drawingml/2006/picture">
            <wp:extent cx="2743200" cy="1459488"/>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743200" cy="1459488"/>
                    </a:xfrm>
                    <a:prstGeom prst="rect"/>
                  </pic:spPr>
                </pic:pic>
              </a:graphicData>
            </a:graphic>
          </wp:inline>
        </w:drawing>
      </w:r>
    </w:p>
    <w:p>
      <w:pPr>
        <w:spacing w:before="80" w:after="100" w:line="276" w:lineRule="auto"/>
        <w:jc w:val="center"/>
      </w:pPr>
      <w:r>
        <w:rPr>
          <w:rFonts w:ascii="Times New Roman" w:hAnsi="Times New Roman" w:eastAsia="Times New Roman" w:cs="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646464"/>
        <w:sz w:val="17"/>
      </w:rPr>
      <w:t>ROBOTICS INTEGRATION GROUP PROJECT  ·  GROUP 17</w:t>
    </w:r>
    <w:r>
      <w:rPr>
        <w:rFonts w:ascii="Times New Roman" w:hAnsi="Times New Roman" w:eastAsia="Times New Roman" w:cs="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cs="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Times New Roman" w:hAnsi="Times New Roman" w:eastAsia="Times New Roman" w:cs="Times New Roman"/>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eastAsia="Georgia" w:cs="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Times New Roman" w:hAnsi="Times New Roman" w:eastAsia="Times New Roman" w:cs="Times New Roman"/>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