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Maybe change the name of this file? - No, it's perfect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### TCP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**connection-oriented**: setup required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***reliable transport**:* between sending and receiving process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***flow control**:* sender won’t overwhelm receiver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***congestion control**:* throttle sender when network overloaded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***does not provide**:* timing, minimum bandwidth guarantees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uses: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- server: bind; listen; accept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- client: connect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- client + server: close; shutdown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### UDP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unreliable data transfer between sending and receiving process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does not provide: connection setup, reliability, flow control, congestion control, timing, or bandwidth guarantee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 advantaged: 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- less latency; 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- higher bandwidth; </w:t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- broadcast (one sender - multiple receivers)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- uses: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- server: bind (no listen/accept)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- client: connect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- client + server: close; </w:t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>
          <w:rtl w:val="0"/>
        </w:rPr>
        <w:t xml:space="preserve">- checksum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TCP vs UDP: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Write: TCP sends stream of bytes - UDP sends packets of bytes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Read: TCP reads from the stream - UDP reads bytes from one packet (1 read = 1 packet max 64kb) (bytes not read from stream in tcp stay available for next read - not read bytes from a packet in udp are lost!)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Flow: TCP flow: neither party can overflow the other - UDP flow: you can send as much data but the receiver will start losing packets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Use straight through Ethernet cable for the following cabling: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Switch to router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Switch to PC or server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Hub to PC or server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Use crossover cables for the following cabling: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Switch to switch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Switch to hub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Hub to hub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Router to router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Router Ethernet port to PC NIC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PC to PC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Broadcast: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over UDP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Special destination address (Universal broadcast or LAN broadcast = largest IP address from that network)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 Addresses: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32-bit identifier for host, router interface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Private IP cant be routed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Interface = connection between host/router and physical link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Network: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Device interfaces with same network part of IP address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physically reach each other without intervening router = no crossroads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294177</wp:posOffset>
            </wp:positionV>
            <wp:extent cx="3719513" cy="1787766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7877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Class-full addressing: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sz w:val="24"/>
          <w:szCs w:val="24"/>
          <w:rtl w:val="0"/>
        </w:rPr>
        <w:t xml:space="preserve">CIDR: Classless InterDomain Routing</w:t>
      </w:r>
      <w:r w:rsidDel="00000000" w:rsidR="00000000" w:rsidRPr="00000000">
        <w:rPr>
          <w:rtl w:val="0"/>
        </w:rPr>
        <w:t xml:space="preserve"> (next addressing schema)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PRIVATE IP ADDRESSES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4506" cy="618848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506" cy="618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RELAY AGENT - host or router that sends DHCP packets between clients and servers (it can serve  DHCP server on another network to configure the IP addresses of computers inside its network)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968368" cy="52054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8368" cy="520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Divide into subnets: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Take the network with the biggest number of hosts x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Find the biggest number 2^y bigger than x + 1 router + 1 network address + 1 universal broadcast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 the same from biggest to lowest number of hosts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if total number of power of 2 hosts fit in the subnet mask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Split IPs based on the number power of 2 for every subnet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ARP and MAC: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ipv6 doesn't handle fragmentation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MAC address - Data link layer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link broadcast MAC address: FF:FF:FF:FF:FF:FF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810" w:top="1440" w:left="1440" w:right="87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