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C2142"/>
          <w:sz w:val="36"/>
        </w:rPr>
        <w:t>ACTA DE CONSTITUCIÓN DEL PROYECTO</w:t>
      </w:r>
    </w:p>
    <w:p>
      <w:pPr>
        <w:jc w:val="center"/>
      </w:pPr>
      <w:r>
        <w:rPr>
          <w:i/>
          <w:sz w:val="26"/>
        </w:rPr>
        <w:t>Proyecto de repotenciacion de linea, en minas subterraneas</w:t>
      </w:r>
    </w:p>
    <w:p>
      <w:r>
        <w:rPr>
          <w:color w:val="B07722"/>
          <w:sz w:val="18"/>
        </w:rPr>
        <w:t>Documento de alto nivel (PMBOK 7). Los elementos marcados (propuesto) fueron inferidos por el agente y requieren validación del patrocinador.</w:t>
      </w:r>
    </w:p>
    <w:p>
      <w:r>
        <w:rPr>
          <w:b/>
          <w:color w:val="0C2142"/>
          <w:sz w:val="26"/>
        </w:rPr>
        <w:t>1. Propósito y justificación</w:t>
      </w:r>
    </w:p>
    <w:p>
      <w:r>
        <w:t>Ejecutar la repotenciación de la línea en las minas subterráneas para optimizar su capacidad operativa</w:t>
      </w:r>
    </w:p>
    <w:p>
      <w:r>
        <w:t>La infraestructura actual de la línea en las minas subterráneas requiere una actualización de su potencia o capacidad para evitar cuellos de botella operativos y asegurar la continuidad de la extracción minera</w:t>
      </w:r>
      <w:r>
        <w:rPr>
          <w:i/>
          <w:color w:val="B07722"/>
          <w:sz w:val="18"/>
        </w:rPr>
        <w:t xml:space="preserve">  (propuesto)</w:t>
      </w:r>
    </w:p>
    <w:p>
      <w:r>
        <w:rPr>
          <w:b/>
          <w:color w:val="0C2142"/>
          <w:sz w:val="26"/>
        </w:rPr>
        <w:t>2. Objetivos medibles y criterios de éxito</w:t>
      </w:r>
    </w:p>
    <w:p>
      <w:pPr>
        <w:pStyle w:val="ListBullet"/>
      </w:pPr>
      <w:r>
        <w:t>Realizar la repotenciación de la línea en las minas subterráneas</w:t>
      </w:r>
    </w:p>
    <w:p>
      <w:pPr>
        <w:pStyle w:val="ListBullet"/>
      </w:pPr>
      <w:r>
        <w:t>Incrementar la disponibilidad operativa y la seguridad de la línea para optimizar el flujo de producción en el entorno subterráneo</w:t>
      </w:r>
      <w:r>
        <w:rPr>
          <w:i/>
          <w:color w:val="B07722"/>
          <w:sz w:val="18"/>
        </w:rPr>
        <w:t xml:space="preserve">  (propuesto)</w:t>
      </w:r>
    </w:p>
    <w:p>
      <w:pPr>
        <w:pStyle w:val="ListBullet"/>
      </w:pPr>
      <w:r>
        <w:t>Línea repotenciada y operativa según las especificaciones técnicas requeridas</w:t>
      </w:r>
      <w:r>
        <w:rPr>
          <w:i/>
          <w:color w:val="B07722"/>
          <w:sz w:val="18"/>
        </w:rPr>
        <w:t xml:space="preserve">  (propuesto)</w:t>
      </w:r>
    </w:p>
    <w:p>
      <w:pPr>
        <w:pStyle w:val="ListBullet"/>
      </w:pPr>
      <w:r>
        <w:t>Cero incidentes de seguridad durante la ejecución de los trabajos en mina</w:t>
      </w:r>
      <w:r>
        <w:rPr>
          <w:i/>
          <w:color w:val="B07722"/>
          <w:sz w:val="18"/>
        </w:rPr>
        <w:t xml:space="preserve">  (propuesto)</w:t>
      </w:r>
    </w:p>
    <w:p>
      <w:r>
        <w:rPr>
          <w:b/>
          <w:color w:val="0C2142"/>
          <w:sz w:val="26"/>
        </w:rPr>
        <w:t>3. Requisitos y entregables de alto nivel</w:t>
      </w:r>
    </w:p>
    <w:p>
      <w:pPr>
        <w:pStyle w:val="ListBullet"/>
      </w:pPr>
      <w:r>
        <w:t>Actualización de componentes eléctricos y/o mecánicos de la línea</w:t>
      </w:r>
      <w:r>
        <w:rPr>
          <w:i/>
          <w:color w:val="B07722"/>
          <w:sz w:val="18"/>
        </w:rPr>
        <w:t xml:space="preserve">  (propuesto)</w:t>
      </w:r>
    </w:p>
    <w:p>
      <w:pPr>
        <w:pStyle w:val="ListBullet"/>
      </w:pPr>
      <w:r>
        <w:t>Cumplimiento estricto de la normativa de minería subterránea vigente</w:t>
      </w:r>
      <w:r>
        <w:rPr>
          <w:i/>
          <w:color w:val="B07722"/>
          <w:sz w:val="18"/>
        </w:rPr>
        <w:t xml:space="preserve">  (propuesto)</w:t>
      </w:r>
    </w:p>
    <w:p>
      <w:r>
        <w:rPr>
          <w:b/>
          <w:color w:val="0C2142"/>
          <w:sz w:val="26"/>
        </w:rPr>
        <w:t>4. Riesgos de alto nivel</w:t>
      </w:r>
    </w:p>
    <w:p>
      <w:pPr>
        <w:pStyle w:val="ListBullet"/>
      </w:pPr>
      <w:r>
        <w:t>Inestabilidad geomecánica en las zonas de intervención de la mina (impacto: alto)</w:t>
      </w:r>
      <w:r>
        <w:rPr>
          <w:i/>
          <w:color w:val="B07722"/>
          <w:sz w:val="18"/>
        </w:rPr>
        <w:t xml:space="preserve">  (propuesto)</w:t>
      </w:r>
    </w:p>
    <w:p>
      <w:pPr>
        <w:pStyle w:val="ListBullet"/>
      </w:pPr>
      <w:r>
        <w:t>Retrasos en el suministro de componentes especializados para minería (impacto: medio)</w:t>
      </w:r>
      <w:r>
        <w:rPr>
          <w:i/>
          <w:color w:val="B07722"/>
          <w:sz w:val="18"/>
        </w:rPr>
        <w:t xml:space="preserve">  (propuesto)</w:t>
      </w:r>
    </w:p>
    <w:p>
      <w:r>
        <w:rPr>
          <w:b/>
          <w:color w:val="0C2142"/>
          <w:sz w:val="26"/>
        </w:rPr>
        <w:t>5. Resumen del cronograma e hitos</w:t>
      </w:r>
    </w:p>
    <w:p>
      <w:pPr>
        <w:pStyle w:val="ListBullet"/>
      </w:pPr>
      <w:r>
        <w:t>Aprobación del acta de constitución y kickoff — Por definir</w:t>
      </w:r>
      <w:r>
        <w:rPr>
          <w:i/>
          <w:color w:val="B07722"/>
          <w:sz w:val="18"/>
        </w:rPr>
        <w:t xml:space="preserve">  (propuesto)</w:t>
      </w:r>
    </w:p>
    <w:p>
      <w:pPr>
        <w:pStyle w:val="ListBullet"/>
      </w:pPr>
      <w:r>
        <w:t>Finalización del diseño técnico de repotenciación — Por definir</w:t>
      </w:r>
      <w:r>
        <w:rPr>
          <w:i/>
          <w:color w:val="B07722"/>
          <w:sz w:val="18"/>
        </w:rPr>
        <w:t xml:space="preserve">  (propuesto)</w:t>
      </w:r>
    </w:p>
    <w:p>
      <w:pPr>
        <w:pStyle w:val="ListBullet"/>
      </w:pPr>
      <w:r>
        <w:t>Ejecución de los trabajos de repotenciación en mina — Por definir</w:t>
      </w:r>
      <w:r>
        <w:rPr>
          <w:i/>
          <w:color w:val="B07722"/>
          <w:sz w:val="18"/>
        </w:rPr>
        <w:t xml:space="preserve">  (propuesto)</w:t>
      </w:r>
    </w:p>
    <w:p>
      <w:pPr>
        <w:pStyle w:val="ListBullet"/>
      </w:pPr>
      <w:r>
        <w:t>Pruebas de puesta en marcha y entrega final — Por definir</w:t>
      </w:r>
      <w:r>
        <w:rPr>
          <w:i/>
          <w:color w:val="B07722"/>
          <w:sz w:val="18"/>
        </w:rPr>
        <w:t xml:space="preserve">  (propuesto)</w:t>
      </w:r>
    </w:p>
    <w:p>
      <w:r>
        <w:rPr>
          <w:b/>
          <w:color w:val="0C2142"/>
          <w:sz w:val="26"/>
        </w:rPr>
        <w:t>6. Presupuesto resumido</w:t>
      </w:r>
    </w:p>
    <w:p>
      <w:r>
        <w:t>Por definir Por definir</w:t>
      </w:r>
      <w:r>
        <w:rPr>
          <w:i/>
          <w:color w:val="B07722"/>
          <w:sz w:val="18"/>
        </w:rPr>
        <w:t xml:space="preserve">  (propuesto)</w:t>
      </w:r>
    </w:p>
    <w:p>
      <w:r>
        <w:rPr>
          <w:b/>
          <w:color w:val="0C2142"/>
          <w:sz w:val="26"/>
        </w:rPr>
        <w:t>7. Interesados clave</w:t>
      </w:r>
    </w:p>
    <w:p>
      <w:pPr>
        <w:pStyle w:val="ListBullet"/>
      </w:pPr>
      <w:r>
        <w:t>Equipo de Operaciones Mineras — Usuario final</w:t>
      </w:r>
      <w:r>
        <w:rPr>
          <w:i/>
          <w:color w:val="B07722"/>
          <w:sz w:val="18"/>
        </w:rPr>
        <w:t xml:space="preserve">  (propuesto)</w:t>
      </w:r>
    </w:p>
    <w:p>
      <w:pPr>
        <w:pStyle w:val="ListBullet"/>
      </w:pPr>
      <w:r>
        <w:t>Departamento de Mantenimiento — Soporte técnico</w:t>
      </w:r>
      <w:r>
        <w:rPr>
          <w:i/>
          <w:color w:val="B07722"/>
          <w:sz w:val="18"/>
        </w:rPr>
        <w:t xml:space="preserve">  (propuesto)</w:t>
      </w:r>
    </w:p>
    <w:p>
      <w:pPr>
        <w:pStyle w:val="ListBullet"/>
      </w:pPr>
      <w:r>
        <w:t>Área de Seguridad y Salud Ocupacional (HSE) — Validador de seguridad</w:t>
      </w:r>
      <w:r>
        <w:rPr>
          <w:i/>
          <w:color w:val="B07722"/>
          <w:sz w:val="18"/>
        </w:rPr>
        <w:t xml:space="preserve">  (propuesto)</w:t>
      </w:r>
    </w:p>
    <w:p>
      <w:r>
        <w:rPr>
          <w:b/>
          <w:color w:val="0C2142"/>
          <w:sz w:val="26"/>
        </w:rPr>
        <w:t>8. Autoridad del Director del Proyecto</w:t>
      </w:r>
    </w:p>
    <w:p>
      <w:r>
        <w:t>El Project Manager tiene autoridad para gestionar los recursos asignados, coordinar las ventanas de trabajo con operaciones y asegurar el cumplimiento de los estándares de seguridad</w:t>
      </w:r>
      <w:r>
        <w:rPr>
          <w:i/>
          <w:color w:val="B07722"/>
          <w:sz w:val="18"/>
        </w:rPr>
        <w:t xml:space="preserve">  (propuesto)</w:t>
      </w:r>
    </w:p>
    <w:p>
      <w:r>
        <w:rPr>
          <w:b/>
          <w:color w:val="0C2142"/>
          <w:sz w:val="26"/>
        </w:rPr>
        <w:t>9. Director del Proyecto asignado</w:t>
      </w:r>
    </w:p>
    <w:p>
      <w:r>
        <w:t>Por designar por la PMO</w:t>
      </w:r>
      <w:r>
        <w:rPr>
          <w:i/>
          <w:color w:val="B07722"/>
          <w:sz w:val="18"/>
        </w:rPr>
        <w:t xml:space="preserve">  (propuesto)</w:t>
      </w:r>
    </w:p>
    <w:p>
      <w:r>
        <w:rPr>
          <w:b/>
          <w:color w:val="0C2142"/>
          <w:sz w:val="26"/>
        </w:rPr>
        <w:t>10. Supuestos y restricciones</w:t>
      </w:r>
    </w:p>
    <w:p>
      <w:pPr>
        <w:pStyle w:val="ListBullet"/>
      </w:pPr>
      <w:r>
        <w:t>Se cuenta con acceso físico y permisos para intervenir las áreas de la mina subterránea</w:t>
      </w:r>
      <w:r>
        <w:rPr>
          <w:i/>
          <w:color w:val="B07722"/>
          <w:sz w:val="18"/>
        </w:rPr>
        <w:t xml:space="preserve">  (propuesto)</w:t>
      </w:r>
    </w:p>
    <w:p>
      <w:pPr>
        <w:pStyle w:val="ListBullet"/>
      </w:pPr>
      <w:r>
        <w:t>Existe documentación técnica actualizada de la línea actual</w:t>
      </w:r>
      <w:r>
        <w:rPr>
          <w:i/>
          <w:color w:val="B07722"/>
          <w:sz w:val="18"/>
        </w:rPr>
        <w:t xml:space="preserve">  (propuesto)</w:t>
      </w:r>
    </w:p>
    <w:p>
      <w:pPr>
        <w:pStyle w:val="ListBullet"/>
      </w:pPr>
      <w:r>
        <w:t>Las actividades deben ejecutarse sin comprometer la seguridad del personal en el entorno subterráneo</w:t>
      </w:r>
      <w:r>
        <w:rPr>
          <w:i/>
          <w:color w:val="B07722"/>
          <w:sz w:val="18"/>
        </w:rPr>
        <w:t xml:space="preserve">  (propuesto)</w:t>
      </w:r>
    </w:p>
    <w:p>
      <w:pPr>
        <w:pStyle w:val="ListBullet"/>
      </w:pPr>
      <w:r>
        <w:t>Ventanas de trabajo limitadas por los turnos de operación minera</w:t>
      </w:r>
      <w:r>
        <w:rPr>
          <w:i/>
          <w:color w:val="B07722"/>
          <w:sz w:val="18"/>
        </w:rPr>
        <w:t xml:space="preserve">  (propuesto)</w:t>
      </w:r>
    </w:p>
    <w:p>
      <w:r>
        <w:rPr>
          <w:b/>
          <w:color w:val="0C2142"/>
          <w:sz w:val="26"/>
        </w:rPr>
        <w:t>11. Requisitos de aprobación y firmas</w:t>
      </w:r>
    </w:p>
    <w:p>
      <w:pPr>
        <w:pStyle w:val="ListBullet"/>
      </w:pPr>
      <w:r>
        <w:t>Aprobación formal del acta por el Patrocinador y la PMO</w:t>
      </w:r>
      <w:r>
        <w:rPr>
          <w:i/>
          <w:color w:val="B07722"/>
          <w:sz w:val="18"/>
        </w:rPr>
        <w:t xml:space="preserve">  (propuesto)</w:t>
      </w:r>
    </w:p>
    <w:p>
      <w:pPr>
        <w:pStyle w:val="ListBullet"/>
      </w:pPr>
      <w:r>
        <w:t>Validación técnica y de seguridad por el área de HSE</w:t>
      </w:r>
      <w:r>
        <w:rPr>
          <w:i/>
          <w:color w:val="B07722"/>
          <w:sz w:val="18"/>
        </w:rPr>
        <w:t xml:space="preserve">  (propuesto)</w:t>
      </w:r>
    </w:p>
    <w:p>
      <w:pPr>
        <w:pStyle w:val="ListBullet"/>
      </w:pPr>
      <w:r>
        <w:t>Por definir — Patrocinador</w:t>
      </w:r>
      <w:r>
        <w:rPr>
          <w:i/>
          <w:color w:val="B07722"/>
          <w:sz w:val="18"/>
        </w:rPr>
        <w:t xml:space="preserve">  (propuesto)</w:t>
      </w:r>
    </w:p>
    <w:p>
      <w:pPr>
        <w:pStyle w:val="ListBullet"/>
      </w:pPr>
      <w:r>
        <w:t>Por designar — Project Manager</w:t>
      </w:r>
      <w:r>
        <w:rPr>
          <w:i/>
          <w:color w:val="B07722"/>
          <w:sz w:val="18"/>
        </w:rPr>
        <w:t xml:space="preserve">  (propuesto)</w:t>
      </w:r>
    </w:p>
    <w:p>
      <w:r>
        <w:rPr>
          <w:b/>
          <w:color w:val="0C2142"/>
          <w:sz w:val="26"/>
        </w:rPr>
        <w:t>Información pendiente por definir</w:t>
      </w:r>
    </w:p>
    <w:p>
      <w:pPr>
        <w:pStyle w:val="ListBullet"/>
      </w:pPr>
      <w:r>
        <w:t>No se especifica el presupuesto asignado</w:t>
      </w:r>
      <w:r>
        <w:rPr>
          <w:i/>
          <w:color w:val="B07722"/>
          <w:sz w:val="18"/>
        </w:rPr>
        <w:t xml:space="preserve">  (propuesto)</w:t>
      </w:r>
    </w:p>
    <w:p>
      <w:pPr>
        <w:pStyle w:val="ListBullet"/>
      </w:pPr>
      <w:r>
        <w:t>No se definen fechas límite ni cronograma</w:t>
      </w:r>
      <w:r>
        <w:rPr>
          <w:i/>
          <w:color w:val="B07722"/>
          <w:sz w:val="18"/>
        </w:rPr>
        <w:t xml:space="preserve">  (propuesto)</w:t>
      </w:r>
    </w:p>
    <w:p>
      <w:pPr>
        <w:pStyle w:val="ListBullet"/>
      </w:pPr>
      <w:r>
        <w:t>No se identifica el nombre del patrocinador</w:t>
      </w:r>
      <w:r>
        <w:rPr>
          <w:i/>
          <w:color w:val="B07722"/>
          <w:sz w:val="18"/>
        </w:rPr>
        <w:t xml:space="preserve">  (propuesto)</w:t>
      </w:r>
    </w:p>
    <w:p>
      <w:pPr>
        <w:pStyle w:val="ListBullet"/>
      </w:pPr>
      <w:r>
        <w:t>No se detallan los objetivos SMART (específicos, medibles, alcanzables, relevantes y temporales)</w:t>
      </w:r>
      <w:r>
        <w:rPr>
          <w:i/>
          <w:color w:val="B07722"/>
          <w:sz w:val="18"/>
        </w:rPr>
        <w:t xml:space="preserve">  (propuesto)</w:t>
      </w:r>
    </w:p>
    <w:p>
      <w:pPr>
        <w:pStyle w:val="ListBullet"/>
      </w:pPr>
      <w:r>
        <w:t>No se definen los requisitos técnicos específicos de la repotenciación</w:t>
      </w:r>
      <w:r>
        <w:rPr>
          <w:i/>
          <w:color w:val="B07722"/>
          <w:sz w:val="18"/>
        </w:rPr>
        <w:t xml:space="preserve">  (propuesto)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