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990011"/>
          <w:sz w:val="32"/>
          <w:szCs w:val="32"/>
        </w:rPr>
        <w:t xml:space="preserve">CAPHY Thesis — Abstract and Appendices Plan</w:t>
      </w:r>
    </w:p>
    <w:p>
      <w:pPr>
        <w:pBdr>
          <w:left w:val="single" w:color="990011" w:sz="12" w:space="8"/>
        </w:pBdr>
        <w:spacing w:after="200" w:before="100"/>
        <w:ind w:left="240"/>
      </w:pPr>
      <w:r>
        <w:rPr>
          <w:i/>
          <w:iCs/>
          <w:color w:val="5A5A5A"/>
          <w:sz w:val="21"/>
          <w:szCs w:val="21"/>
        </w:rPr>
        <w:t xml:space="preserve">Drafted from your actual, completed Chapters I–V (as corrected) so every claim below matches what the manuscript already says. The Abstract is written to standard, since you said it's completed after the defense — this is ready to drop in once your defense is done and any final panel-requested edits are incorporated. The Appendices section is a proposed list matched to what you actually have (figures, tables, code, instrument, dataset) rather than a generic template — swap in real file names/links where indicated.</w:t>
      </w:r>
    </w:p>
    <w:p>
      <w:pPr>
        <w:pStyle w:val="Heading1"/>
        <w:spacing w:after="160" w:before="320"/>
      </w:pPr>
      <w:r>
        <w:rPr>
          <w:b/>
          <w:bCs/>
          <w:color w:val="990011"/>
        </w:rPr>
        <w:t xml:space="preserve">I. Abstract</w:t>
      </w:r>
    </w:p>
    <w:p>
      <w:pPr>
        <w:spacing w:after="160" w:line="360"/>
        <w:jc w:val="both"/>
      </w:pPr>
      <w:r>
        <w:rPr>
          <w:sz w:val="23"/>
          <w:szCs w:val="23"/>
        </w:rPr>
        <w:t xml:space="preserve">Smart home security has become a standard household need due to the growth of Internet of Things (IoT) technology, but most modern systems rely on cloud servers, a design that struggles in the Philippines because of slow internet, frequent power outages, high hardware costs, and privacy risk, and that also contributes to alert fatigue, where users are notified of harmless movement so often that they begin ignoring real threats.</w:t>
      </w:r>
    </w:p>
    <w:p>
      <w:pPr>
        <w:spacing w:after="160" w:line="360"/>
        <w:jc w:val="both"/>
      </w:pPr>
      <w:r>
        <w:rPr>
          <w:sz w:val="23"/>
          <w:szCs w:val="23"/>
        </w:rPr>
        <w:t xml:space="preserve">This study addresses that gap by developing CAPHY, an AI-based intelligent security system with two-factor motion validation and monitoring protocols, built to run locally on a repurposed laptop rather than depending on a constant cloud connection.</w:t>
      </w:r>
    </w:p>
    <w:p>
      <w:pPr>
        <w:spacing w:after="160" w:line="360"/>
        <w:jc w:val="both"/>
      </w:pPr>
      <w:r>
        <w:rPr>
          <w:sz w:val="23"/>
          <w:szCs w:val="23"/>
        </w:rPr>
        <w:t xml:space="preserve">CAPHY combines OpenCV-based motion detection with a custom-trained YOLOv8-nano model, fine-tuned on a project-collected dataset of person images, to verify that detected movement is an actual human before generating any alert. Confirmed detections are classified into a 3-Tier Threat Level based on estimated distance from the camera, with distance smoothing and hysteresis applied for stable classification, and the system integrates the CAPHY App, built with Flutter and Firebase, for tiered alert delivery, on-device voice control with multi-turn confirmation, and hybrid local-and-cloud storage using SQLite and Firebase. The system was developed using the Applied Research Method under the Agile Prototyping SDLC (Scrum) and was evaluated through functional testing and a structured ISO/IEC 25010 user evaluation with 50 respondents.</w:t>
      </w:r>
    </w:p>
    <w:p>
      <w:pPr>
        <w:spacing w:after="160" w:line="360"/>
        <w:jc w:val="both"/>
      </w:pPr>
      <w:r>
        <w:rPr>
          <w:sz w:val="23"/>
          <w:szCs w:val="23"/>
        </w:rPr>
        <w:t xml:space="preserve">Functional testing across nine scenarios and 45 trials yielded 88.9% accuracy, 100.0% precision, 85.7% recall, and a 92.3% F1-score, with zero false positives recorded and all five false negatives occurring specifically under low-light conditions. The ISO/IEC 25010 evaluation produced an overall weighted mean of 3.50, interpreted as Strongly Agree across all eight quality characteristics, with Functional Suitability and Security rated highest at 3.55 and Compatibility rated lowest at 3.42, still within the Strongly Agree range.</w:t>
      </w:r>
    </w:p>
    <w:p>
      <w:pPr>
        <w:spacing w:after="160" w:line="360"/>
        <w:jc w:val="both"/>
      </w:pPr>
      <w:r>
        <w:rPr>
          <w:sz w:val="23"/>
          <w:szCs w:val="23"/>
        </w:rPr>
        <w:t xml:space="preserve">These results demonstrate that a dual-stage, CPU-oriented detection architecture running on repurposed hardware can meaningfully reduce false security alerts while remaining functional and highly regarded by users, offering Filipino households a more accessible, reliable, and privacy-conscious approach to residential security despite ongoing limitations in internet connectivity and power availability.</w:t>
      </w:r>
    </w:p>
    <w:p>
      <w:pPr>
        <w:pBdr>
          <w:left w:val="single" w:color="990011" w:sz="12" w:space="8"/>
        </w:pBdr>
        <w:spacing w:after="200" w:before="100"/>
        <w:ind w:left="240"/>
      </w:pPr>
      <w:r>
        <w:rPr>
          <w:i/>
          <w:iCs/>
          <w:color w:val="5A5A5A"/>
          <w:sz w:val="21"/>
          <w:szCs w:val="21"/>
        </w:rPr>
        <w:t xml:space="preserve">Length check: this draft is five paragraphs, roughly 260 words, which is a normal CS-thesis abstract length (150–300 words is the common range; check your own department's exact word-limit rule, since these vary by institution). Once your defense is done, update the wording only if the panel required specific changes to the findings themselves — the structure and numbers above already match your finished Chapters I–V.</w:t>
      </w:r>
    </w:p>
    <w:p>
      <w:pPr>
        <w:pStyle w:val="Heading1"/>
        <w:spacing w:after="160" w:before="320"/>
      </w:pPr>
      <w:r>
        <w:rPr>
          <w:b/>
          <w:bCs/>
          <w:color w:val="990011"/>
        </w:rPr>
        <w:t xml:space="preserve">II. Appendices Plan</w:t>
      </w:r>
    </w:p>
    <w:p>
      <w:pPr>
        <w:spacing w:after="160" w:line="360"/>
        <w:jc w:val="both"/>
      </w:pPr>
      <w:r>
        <w:rPr>
          <w:sz w:val="23"/>
          <w:szCs w:val="23"/>
        </w:rPr>
        <w:t xml:space="preserve">Below is a proposed appendix list built specifically around what your Chapters I–V actually reference and produce, rather than a generic checklist. Each entry says what belongs in it and where the source material already exists in your project. Number them A, B, C… in the order your main text first refers to them, and make sure every appendix you include is cited at least once in the body (for example, "the complete algorithm comparison is provided in Appendix D").</w:t>
      </w:r>
    </w:p>
    <w:p>
      <w:pPr>
        <w:spacing w:after="60" w:before="200"/>
      </w:pPr>
      <w:r>
        <w:rPr>
          <w:b/>
          <w:bCs/>
          <w:color w:val="990011"/>
          <w:sz w:val="23"/>
          <w:szCs w:val="23"/>
        </w:rPr>
        <w:t xml:space="preserve">Appendix A: </w:t>
      </w:r>
      <w:r>
        <w:rPr>
          <w:b/>
          <w:bCs/>
          <w:sz w:val="23"/>
          <w:szCs w:val="23"/>
        </w:rPr>
        <w:t xml:space="preserve">Complete System Architecture and Diagrams</w:t>
      </w:r>
    </w:p>
    <w:p>
      <w:pPr>
        <w:spacing w:after="80"/>
      </w:pPr>
      <w:r>
        <w:rPr>
          <w:sz w:val="22"/>
          <w:szCs w:val="22"/>
        </w:rPr>
        <w:t xml:space="preserve">Full-resolution versions of Figures 1–17: the Conceptual Paradigm (Figure 1), System Architecture (Figures 10 and 17), Data Flow Diagrams Context Level 0 and 1 (Figures 11–12), the Proposed Flowchart (Figure 13), the UML Use Case Diagram (Figure 14), the Database Structure diagram (Figure 15), and the Agile Scrum Development Process diagram (Figure 16).</w:t>
      </w:r>
    </w:p>
    <w:p>
      <w:pPr>
        <w:pBdr>
          <w:left w:val="single" w:color="990011" w:sz="12" w:space="8"/>
        </w:pBdr>
        <w:spacing w:after="200" w:before="100"/>
        <w:ind w:left="240"/>
      </w:pPr>
      <w:r>
        <w:rPr>
          <w:i/>
          <w:iCs/>
          <w:color w:val="5A5A5A"/>
          <w:sz w:val="21"/>
          <w:szCs w:val="21"/>
        </w:rPr>
        <w:t xml:space="preserve">Your defense-readiness notes flagged that panelists often click through the exact screens shown in your figures, so make sure each diagram here is the final, corrected version — matching the actual system, not an earlier draft.</w:t>
      </w:r>
    </w:p>
    <w:p>
      <w:pPr>
        <w:spacing w:after="60" w:before="200"/>
      </w:pPr>
      <w:r>
        <w:rPr>
          <w:b/>
          <w:bCs/>
          <w:color w:val="990011"/>
          <w:sz w:val="23"/>
          <w:szCs w:val="23"/>
        </w:rPr>
        <w:t xml:space="preserve">Appendix B: </w:t>
      </w:r>
      <w:r>
        <w:rPr>
          <w:b/>
          <w:bCs/>
          <w:sz w:val="23"/>
          <w:szCs w:val="23"/>
        </w:rPr>
        <w:t xml:space="preserve">Database Schema</w:t>
      </w:r>
    </w:p>
    <w:p>
      <w:pPr>
        <w:spacing w:after="80"/>
      </w:pPr>
      <w:r>
        <w:rPr>
          <w:sz w:val="22"/>
          <w:szCs w:val="22"/>
        </w:rPr>
        <w:t xml:space="preserve">The full SQLite schema referenced in Figure 15 and Section III (Diagrams): the alerts table (threat tier, distance, confidence, snapshot/video paths, camera source, sync status, timestamp), the threat_logs table, the settings table, and the deleted_alerts table.</w:t>
      </w:r>
    </w:p>
    <w:p>
      <w:pPr>
        <w:spacing w:after="60" w:before="200"/>
      </w:pPr>
      <w:r>
        <w:rPr>
          <w:b/>
          <w:bCs/>
          <w:color w:val="990011"/>
          <w:sz w:val="23"/>
          <w:szCs w:val="23"/>
        </w:rPr>
        <w:t xml:space="preserve">Appendix C: </w:t>
      </w:r>
      <w:r>
        <w:rPr>
          <w:b/>
          <w:bCs/>
          <w:sz w:val="23"/>
          <w:szCs w:val="23"/>
        </w:rPr>
        <w:t xml:space="preserve">Pseudocode for the Detection and Alert Pipeline</w:t>
      </w:r>
    </w:p>
    <w:p>
      <w:pPr>
        <w:spacing w:after="80"/>
      </w:pPr>
      <w:r>
        <w:rPr>
          <w:sz w:val="22"/>
          <w:szCs w:val="22"/>
        </w:rPr>
        <w:t xml:space="preserve">The full detection loop pseudocode from Section 4.1.6 (Algorithms and Methods) — motion detection, CLAHE enhancement, YOLOv8-nano prediction, distance estimation and smoothing, tier classification, armed-mode escalation, and the dispatch/log/sync logic — presented here in full since the main text only shows it as a summary block.</w:t>
      </w:r>
    </w:p>
    <w:p>
      <w:pPr>
        <w:spacing w:after="60" w:before="200"/>
      </w:pPr>
      <w:r>
        <w:rPr>
          <w:b/>
          <w:bCs/>
          <w:color w:val="990011"/>
          <w:sz w:val="23"/>
          <w:szCs w:val="23"/>
        </w:rPr>
        <w:t xml:space="preserve">Appendix D: </w:t>
      </w:r>
      <w:r>
        <w:rPr>
          <w:b/>
          <w:bCs/>
          <w:sz w:val="23"/>
          <w:szCs w:val="23"/>
        </w:rPr>
        <w:t xml:space="preserve">Comparison of Algorithms (Full Table)</w:t>
      </w:r>
    </w:p>
    <w:p>
      <w:pPr>
        <w:spacing w:after="80"/>
      </w:pPr>
      <w:r>
        <w:rPr>
          <w:sz w:val="22"/>
          <w:szCs w:val="22"/>
        </w:rPr>
        <w:t xml:space="preserve">The complete Table 3 comparison of OpenCV, the custom-trained YOLOv8-nano model, and on-device speech recognition, along with the full features/functions/uses breakdown given in Section III (Algorithm Discussion), since Chapter III only summarizes this in the main body.</w:t>
      </w:r>
    </w:p>
    <w:p>
      <w:pPr>
        <w:spacing w:after="60" w:before="200"/>
      </w:pPr>
      <w:r>
        <w:rPr>
          <w:b/>
          <w:bCs/>
          <w:color w:val="990011"/>
          <w:sz w:val="23"/>
          <w:szCs w:val="23"/>
        </w:rPr>
        <w:t xml:space="preserve">Appendix E: </w:t>
      </w:r>
      <w:r>
        <w:rPr>
          <w:b/>
          <w:bCs/>
          <w:sz w:val="23"/>
          <w:szCs w:val="23"/>
        </w:rPr>
        <w:t xml:space="preserve">Custom Model Training Pipeline</w:t>
      </w:r>
    </w:p>
    <w:p>
      <w:pPr>
        <w:spacing w:after="80"/>
      </w:pPr>
      <w:r>
        <w:rPr>
          <w:sz w:val="22"/>
          <w:szCs w:val="22"/>
        </w:rPr>
        <w:t xml:space="preserve">Documentation of the training pipeline described in Section 4.1.5: collect_data.py, auto_label.py, split_dataset.py, and train.py, along with the resulting model file (caphy_person_best.pt) — dataset size, collection method, labeling approach, and train/validation split ratio, since the main text describes the pipeline but not these specific figures.</w:t>
      </w:r>
    </w:p>
    <w:p>
      <w:pPr>
        <w:spacing w:after="60" w:before="200"/>
      </w:pPr>
      <w:r>
        <w:rPr>
          <w:b/>
          <w:bCs/>
          <w:color w:val="990011"/>
          <w:sz w:val="23"/>
          <w:szCs w:val="23"/>
        </w:rPr>
        <w:t xml:space="preserve">Appendix F: </w:t>
      </w:r>
      <w:r>
        <w:rPr>
          <w:b/>
          <w:bCs/>
          <w:sz w:val="23"/>
          <w:szCs w:val="23"/>
        </w:rPr>
        <w:t xml:space="preserve">ISO/IEC 25010 Survey Instrument</w:t>
      </w:r>
    </w:p>
    <w:p>
      <w:pPr>
        <w:spacing w:after="80"/>
      </w:pPr>
      <w:r>
        <w:rPr>
          <w:sz w:val="22"/>
          <w:szCs w:val="22"/>
        </w:rPr>
        <w:t xml:space="preserve">The complete questionnaire used to gather the 50 responses summarized in Table 4.7/4.9 — all 24 items across the eight ISO/IEC 25010 characteristics, with the four-point Likert scale as described in Chapter III.</w:t>
      </w:r>
    </w:p>
    <w:p>
      <w:pPr>
        <w:spacing w:after="60" w:before="200"/>
      </w:pPr>
      <w:r>
        <w:rPr>
          <w:b/>
          <w:bCs/>
          <w:color w:val="990011"/>
          <w:sz w:val="23"/>
          <w:szCs w:val="23"/>
        </w:rPr>
        <w:t xml:space="preserve">Appendix G: </w:t>
      </w:r>
      <w:r>
        <w:rPr>
          <w:b/>
          <w:bCs/>
          <w:sz w:val="23"/>
          <w:szCs w:val="23"/>
        </w:rPr>
        <w:t xml:space="preserve">Raw Survey Response Data</w:t>
      </w:r>
    </w:p>
    <w:p>
      <w:pPr>
        <w:spacing w:after="80"/>
      </w:pPr>
      <w:r>
        <w:rPr>
          <w:sz w:val="22"/>
          <w:szCs w:val="22"/>
        </w:rPr>
        <w:t xml:space="preserve">The full response export behind Table 4.7 (Functional Suitability 3.55, Performance Efficiency 3.43, Compatibility 3.42, Usability 3.47, Reliability 3.52, Security 3.55, Maintainability 3.53, Portability 3.50, Overall 3.50).</w:t>
      </w:r>
    </w:p>
    <w:p>
      <w:pPr>
        <w:pBdr>
          <w:left w:val="single" w:color="990011" w:sz="12" w:space="8"/>
        </w:pBdr>
        <w:spacing w:after="200" w:before="100"/>
        <w:ind w:left="240"/>
      </w:pPr>
      <w:r>
        <w:rPr>
          <w:i/>
          <w:iCs/>
          <w:color w:val="5A5A5A"/>
          <w:sz w:val="21"/>
          <w:szCs w:val="21"/>
        </w:rPr>
        <w:t xml:space="preserve">This is the Google Forms export you already used to verify the Compatibility standard deviation (0.49) earlier — including it here as an appendix, rather than just keeping it on file, is exactly the kind of traceable source data a panel may ask for.</w:t>
      </w:r>
    </w:p>
    <w:p>
      <w:pPr>
        <w:spacing w:after="60" w:before="200"/>
      </w:pPr>
      <w:r>
        <w:rPr>
          <w:b/>
          <w:bCs/>
          <w:color w:val="990011"/>
          <w:sz w:val="23"/>
          <w:szCs w:val="23"/>
        </w:rPr>
        <w:t xml:space="preserve">Appendix H: </w:t>
      </w:r>
      <w:r>
        <w:rPr>
          <w:b/>
          <w:bCs/>
          <w:sz w:val="23"/>
          <w:szCs w:val="23"/>
        </w:rPr>
        <w:t xml:space="preserve">Detailed Functional Test Records</w:t>
      </w:r>
    </w:p>
    <w:p>
      <w:pPr>
        <w:spacing w:after="80"/>
      </w:pPr>
      <w:r>
        <w:rPr>
          <w:sz w:val="22"/>
          <w:szCs w:val="22"/>
        </w:rPr>
        <w:t xml:space="preserve">The full test log behind Table 4.3/4.5 and the confusion matrix in Table 4.6 — all 45 trials across the nine scenarios (TC001–TC009), five repetitions each, with the pass/fail result and notes for each run, especially the TC008 low-light failures.</w:t>
      </w:r>
    </w:p>
    <w:p>
      <w:pPr>
        <w:spacing w:after="60" w:before="200"/>
      </w:pPr>
      <w:r>
        <w:rPr>
          <w:b/>
          <w:bCs/>
          <w:color w:val="990011"/>
          <w:sz w:val="23"/>
          <w:szCs w:val="23"/>
        </w:rPr>
        <w:t xml:space="preserve">Appendix I: </w:t>
      </w:r>
      <w:r>
        <w:rPr>
          <w:b/>
          <w:bCs/>
          <w:sz w:val="23"/>
          <w:szCs w:val="23"/>
        </w:rPr>
        <w:t xml:space="preserve">Development Environment and Software Stack</w:t>
      </w:r>
    </w:p>
    <w:p>
      <w:pPr>
        <w:spacing w:after="80"/>
      </w:pPr>
      <w:r>
        <w:rPr>
          <w:sz w:val="22"/>
          <w:szCs w:val="22"/>
        </w:rPr>
        <w:t xml:space="preserve">The full specification table already presented as Table 4.2 (Windows 11, AMD Ryzen 5 6600H, 16GB RAM, NVIDIA RTX 3060 6GB, 477GB storage, two 1920×1080 cameras) plus exact software versions for Python, Flask, OpenCV, YOLOv8-nano, SQLite, Flutter, and Firebase, if a specific pinned version list exists beyond what Table 4.1 already shows.</w:t>
      </w:r>
    </w:p>
    <w:p>
      <w:pPr>
        <w:spacing w:after="60" w:before="200"/>
      </w:pPr>
      <w:r>
        <w:rPr>
          <w:b/>
          <w:bCs/>
          <w:color w:val="990011"/>
          <w:sz w:val="23"/>
          <w:szCs w:val="23"/>
        </w:rPr>
        <w:t xml:space="preserve">Appendix J: </w:t>
      </w:r>
      <w:r>
        <w:rPr>
          <w:b/>
          <w:bCs/>
          <w:sz w:val="23"/>
          <w:szCs w:val="23"/>
        </w:rPr>
        <w:t xml:space="preserve">System Interface Screenshots</w:t>
      </w:r>
    </w:p>
    <w:p>
      <w:pPr>
        <w:spacing w:after="80"/>
      </w:pPr>
      <w:r>
        <w:rPr>
          <w:sz w:val="22"/>
          <w:szCs w:val="22"/>
        </w:rPr>
        <w:t xml:space="preserve">Full-size versions of Figures 18–26: the login interface, dashboard, live camera monitoring, alert history, system logs, detection settings, and the CAPHY App's connection/QR, Home, Alerts, Live, and Me screens.</w:t>
      </w:r>
    </w:p>
    <w:p>
      <w:pPr>
        <w:spacing w:after="60" w:before="200"/>
      </w:pPr>
      <w:r>
        <w:rPr>
          <w:b/>
          <w:bCs/>
          <w:color w:val="990011"/>
          <w:sz w:val="23"/>
          <w:szCs w:val="23"/>
        </w:rPr>
        <w:t xml:space="preserve">Appendix K: </w:t>
      </w:r>
      <w:r>
        <w:rPr>
          <w:b/>
          <w:bCs/>
          <w:sz w:val="23"/>
          <w:szCs w:val="23"/>
        </w:rPr>
        <w:t xml:space="preserve">Source Code / Repository Access</w:t>
      </w:r>
    </w:p>
    <w:p>
      <w:pPr>
        <w:spacing w:after="80"/>
      </w:pPr>
      <w:r>
        <w:rPr>
          <w:sz w:val="22"/>
          <w:szCs w:val="22"/>
        </w:rPr>
        <w:t xml:space="preserve">A link to the CAPHY codebase, since including all source code inline is not practical for a thesis document.</w:t>
      </w:r>
    </w:p>
    <w:p>
      <w:pPr>
        <w:pBdr>
          <w:left w:val="single" w:color="990011" w:sz="12" w:space="8"/>
        </w:pBdr>
        <w:spacing w:after="200" w:before="100"/>
        <w:ind w:left="240"/>
      </w:pPr>
      <w:r>
        <w:rPr>
          <w:i/>
          <w:iCs/>
          <w:color w:val="5A5A5A"/>
          <w:sz w:val="21"/>
          <w:szCs w:val="21"/>
        </w:rPr>
        <w:t xml:space="preserve">Best practice is a link plus a one-line description rather than pasting the full codebase into the thesis. Fill in your actual repository URL here, and optionally a DOI if you archive a release (for example via Zenodo) — see the "Digital Appendices" guidance in the template you shared.</w:t>
      </w:r>
    </w:p>
    <w:p>
      <w:pPr>
        <w:pStyle w:val="Heading2"/>
        <w:spacing w:after="120" w:before="240"/>
      </w:pPr>
      <w:r>
        <w:rPr>
          <w:b/>
          <w:bCs/>
          <w:color w:val="27221F"/>
        </w:rPr>
        <w:t xml:space="preserve">What NOT to add</w:t>
      </w:r>
    </w:p>
    <w:p>
      <w:pPr>
        <w:pStyle w:val="ListParagraph"/>
        <w:numPr>
          <w:ilvl w:val="0"/>
          <w:numId w:val="1"/>
        </w:numPr>
        <w:spacing w:after="100"/>
      </w:pPr>
      <w:r>
        <w:rPr>
          <w:sz w:val="22"/>
          <w:szCs w:val="22"/>
        </w:rPr>
        <w:t xml:space="preserve">Don't include the full literature review comparison as an appendix — Chapter II is already the right place for that; only add an extended version here if your adviser specifically wants a bigger comparison matrix than what's already written.</w:t>
      </w:r>
    </w:p>
    <w:p>
      <w:pPr>
        <w:pStyle w:val="ListParagraph"/>
        <w:numPr>
          <w:ilvl w:val="0"/>
          <w:numId w:val="1"/>
        </w:numPr>
        <w:spacing w:after="100"/>
      </w:pPr>
      <w:r>
        <w:rPr>
          <w:sz w:val="22"/>
          <w:szCs w:val="22"/>
        </w:rPr>
        <w:t xml:space="preserve">Don't paste your entire codebase into the appendix — link to the repository instead (Appendix K).</w:t>
      </w:r>
    </w:p>
    <w:p>
      <w:pPr>
        <w:pStyle w:val="ListParagraph"/>
        <w:numPr>
          <w:ilvl w:val="0"/>
          <w:numId w:val="1"/>
        </w:numPr>
        <w:spacing w:after="100"/>
      </w:pPr>
      <w:r>
        <w:rPr>
          <w:sz w:val="22"/>
          <w:szCs w:val="22"/>
        </w:rPr>
        <w:t xml:space="preserve">Don't include anything not already referenced somewhere in Chapters I–V — if a panel doesn't see it cited in the main text, it reads as clutter rather than supporting evidence.</w:t>
      </w:r>
    </w:p>
    <w:p>
      <w:pPr>
        <w:pStyle w:val="Heading2"/>
        <w:spacing w:after="120" w:before="240"/>
      </w:pPr>
      <w:r>
        <w:rPr>
          <w:b/>
          <w:bCs/>
          <w:color w:val="27221F"/>
        </w:rPr>
        <w:t xml:space="preserve">Suggested order</w:t>
      </w:r>
    </w:p>
    <w:p>
      <w:pPr>
        <w:spacing w:after="160" w:line="360"/>
        <w:jc w:val="both"/>
      </w:pPr>
      <w:r>
        <w:rPr>
          <w:sz w:val="23"/>
          <w:szCs w:val="23"/>
        </w:rPr>
        <w:t xml:space="preserve">Order these to match first mention in your main text. Based on how your chapters are currently structured, that would put the diagrams and pseudocode (A–D) first since they're introduced in Chapter III, the training pipeline (E) next since it's Section 4.1.5, the survey instrument and raw data (F–G) next since they support Chapter III's methodology and Chapter IV's results, the test records (H) alongside them, environment specs (I) after that, interface screenshots (J) since they appear throughout Section 4.2, and the repository link (K) last as a general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21F"/>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2026-09-15T04:42:41.762Z</dcterms:created>
  <dcterms:modified xsi:type="dcterms:W3CDTF">2026-09-15T04:42:41.763Z</dcterms:modified>
</cp:coreProperties>
</file>

<file path=docProps/custom.xml><?xml version="1.0" encoding="utf-8"?>
<Properties xmlns="http://schemas.openxmlformats.org/officeDocument/2006/custom-properties" xmlns:vt="http://schemas.openxmlformats.org/officeDocument/2006/docPropsVTypes"/>
</file>