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990011"/>
          <w:sz w:val="30"/>
          <w:szCs w:val="30"/>
        </w:rPr>
        <w:t xml:space="preserve">APPENDIX G</w:t>
      </w:r>
    </w:p>
    <w:p>
      <w:pPr>
        <w:spacing w:after="260"/>
        <w:jc w:val="center"/>
      </w:pPr>
      <w:r>
        <w:rPr>
          <w:b/>
          <w:bCs/>
          <w:sz w:val="26"/>
          <w:szCs w:val="26"/>
        </w:rPr>
        <w:t xml:space="preserve">AI Model and Detection Documentation</w:t>
      </w:r>
    </w:p>
    <w:p>
      <w:pPr>
        <w:pBdr>
          <w:left w:val="single" w:color="5A5A5A" w:sz="12" w:space="8"/>
        </w:pBdr>
        <w:spacing w:after="200" w:before="80"/>
        <w:ind w:left="240"/>
      </w:pPr>
      <w:r>
        <w:rPr>
          <w:i/>
          <w:iCs/>
          <w:color w:val="5A5A5A"/>
          <w:sz w:val="20"/>
          <w:szCs w:val="20"/>
        </w:rPr>
        <w:t xml:space="preserve">Sections in black text are drafted from your verified system architecture, thesis chapters, and confirmed testing results. Sections in red brackets need exact figures from your own training logs, dataset, and survey — pull these from your Ultralytics run output, collect_data.py/auto_label.py/split_dataset.py, and your actual test records, then replace the bracketed text before submission.</w:t>
      </w:r>
    </w:p>
    <w:p>
      <w:pPr>
        <w:pStyle w:val="Heading1"/>
        <w:spacing w:after="160" w:before="320"/>
      </w:pPr>
      <w:r>
        <w:rPr>
          <w:b/>
          <w:bCs/>
          <w:color w:val="990011"/>
        </w:rPr>
        <w:t xml:space="preserve">G.1 AI Model</w:t>
      </w:r>
    </w:p>
    <w:p>
      <w:pPr>
        <w:pStyle w:val="Heading2"/>
        <w:spacing w:after="120" w:before="240"/>
      </w:pPr>
      <w:r>
        <w:rPr>
          <w:b/>
          <w:bCs/>
          <w:color w:val="27221F"/>
        </w:rPr>
        <w:t xml:space="preserve">G.1.1 YOLOv8-nano Model Information</w:t>
      </w:r>
    </w:p>
    <w:p>
      <w:pPr>
        <w:spacing w:after="160" w:line="360"/>
        <w:jc w:val="both"/>
      </w:pPr>
      <w:r>
        <w:rPr>
          <w:sz w:val="22"/>
          <w:szCs w:val="22"/>
        </w:rPr>
        <w:t xml:space="preserve">CAPHY's person-validation stage uses YOLOv8-nano (Ultralytics), the smallest and fastest variant of the YOLOv8 object-detection family, chosen specifically because it is lightweight enough to run inference on CPU-based edge hardware — the repurposed laptop used as CAPHY's local server — without requiring a dedicated GPU-only deployment. Rather than relying on the stock, general-purpose COCO-pretrained weights alone, the base YOLOv8-nano architecture was fine-tuned on a project-collected dataset of person images so that detections are tuned to the camera angles, distances, and lighting conditions actually encountered in CAPHY's target environments (a university laboratory and a residential house).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5200"/>
      </w:tblGrid>
      <w:tr>
        <w:trPr>
          <w:tblHeader/>
        </w:trPr>
        <w:tc>
          <w:tcPr>
            <w:tcW w:type="dxa" w:w="4200"/>
            <w:shd w:fill="DDDDDD" w:val="clear"/>
            <w:tcMar>
              <w:top w:type="dxa" w:w="80"/>
              <w:left w:type="dxa" w:w="100"/>
              <w:bottom w:type="dxa" w:w="80"/>
              <w:right w:type="dxa" w:w="100"/>
            </w:tcMar>
            <w:vAlign w:val="center"/>
          </w:tcPr>
          <w:p>
            <w:pPr>
              <w:jc w:val="center"/>
            </w:pPr>
            <w:r>
              <w:rPr>
                <w:b/>
                <w:bCs/>
                <w:sz w:val="20"/>
                <w:szCs w:val="20"/>
              </w:rPr>
              <w:t xml:space="preserve">Property</w:t>
            </w:r>
          </w:p>
        </w:tc>
        <w:tc>
          <w:tcPr>
            <w:tcW w:type="dxa" w:w="5200"/>
            <w:shd w:fill="DDDDDD" w:val="clear"/>
            <w:tcMar>
              <w:top w:type="dxa" w:w="80"/>
              <w:left w:type="dxa" w:w="100"/>
              <w:bottom w:type="dxa" w:w="80"/>
              <w:right w:type="dxa" w:w="100"/>
            </w:tcMar>
            <w:vAlign w:val="center"/>
          </w:tcPr>
          <w:p>
            <w:pPr>
              <w:jc w:val="center"/>
            </w:pPr>
            <w:r>
              <w:rPr>
                <w:b/>
                <w:bCs/>
                <w:sz w:val="20"/>
                <w:szCs w:val="20"/>
              </w:rPr>
              <w:t xml:space="preserve">Value</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Base architecture</w:t>
            </w:r>
          </w:p>
        </w:tc>
        <w:tc>
          <w:tcPr>
            <w:tcW w:type="dxa" w:w="5200"/>
            <w:tcMar>
              <w:top w:type="dxa" w:w="80"/>
              <w:left w:type="dxa" w:w="100"/>
              <w:bottom w:type="dxa" w:w="80"/>
              <w:right w:type="dxa" w:w="100"/>
            </w:tcMar>
            <w:vAlign w:val="center"/>
          </w:tcPr>
          <w:p>
            <w:pPr>
              <w:jc w:val="center"/>
            </w:pPr>
            <w:r>
              <w:rPr>
                <w:b w:val="false"/>
                <w:bCs w:val="false"/>
                <w:sz w:val="20"/>
                <w:szCs w:val="20"/>
              </w:rPr>
              <w:t xml:space="preserve">YOLOv8-nano (Ultralytics)</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Task</w:t>
            </w:r>
          </w:p>
        </w:tc>
        <w:tc>
          <w:tcPr>
            <w:tcW w:type="dxa" w:w="5200"/>
            <w:tcMar>
              <w:top w:type="dxa" w:w="80"/>
              <w:left w:type="dxa" w:w="100"/>
              <w:bottom w:type="dxa" w:w="80"/>
              <w:right w:type="dxa" w:w="100"/>
            </w:tcMar>
            <w:vAlign w:val="center"/>
          </w:tcPr>
          <w:p>
            <w:pPr>
              <w:jc w:val="center"/>
            </w:pPr>
            <w:r>
              <w:rPr>
                <w:b w:val="false"/>
                <w:bCs w:val="false"/>
                <w:sz w:val="20"/>
                <w:szCs w:val="20"/>
              </w:rPr>
              <w:t xml:space="preserve">Single-class object detection (person)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Training approach</w:t>
            </w:r>
          </w:p>
        </w:tc>
        <w:tc>
          <w:tcPr>
            <w:tcW w:type="dxa" w:w="5200"/>
            <w:tcMar>
              <w:top w:type="dxa" w:w="80"/>
              <w:left w:type="dxa" w:w="100"/>
              <w:bottom w:type="dxa" w:w="80"/>
              <w:right w:type="dxa" w:w="100"/>
            </w:tcMar>
            <w:vAlign w:val="center"/>
          </w:tcPr>
          <w:p>
            <w:pPr>
              <w:jc w:val="center"/>
            </w:pPr>
            <w:r>
              <w:rPr>
                <w:b w:val="false"/>
                <w:bCs w:val="false"/>
                <w:sz w:val="20"/>
                <w:szCs w:val="20"/>
              </w:rPr>
              <w:t xml:space="preserve">Fine-tuning from pretrained COCO weights</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Final model filename</w:t>
            </w:r>
          </w:p>
        </w:tc>
        <w:tc>
          <w:tcPr>
            <w:tcW w:type="dxa" w:w="5200"/>
            <w:tcMar>
              <w:top w:type="dxa" w:w="80"/>
              <w:left w:type="dxa" w:w="100"/>
              <w:bottom w:type="dxa" w:w="80"/>
              <w:right w:type="dxa" w:w="100"/>
            </w:tcMar>
            <w:vAlign w:val="center"/>
          </w:tcPr>
          <w:p>
            <w:pPr>
              <w:jc w:val="center"/>
            </w:pPr>
            <w:r>
              <w:rPr>
                <w:b w:val="false"/>
                <w:bCs w:val="false"/>
                <w:sz w:val="20"/>
                <w:szCs w:val="20"/>
              </w:rPr>
              <w:t xml:space="preserve">caphy_person_best.pt</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Input resolution</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 — e.g., 640×640]</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Framework / version</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 — Ultralytics version, e.g., ultralytics 8.x]</w:t>
            </w:r>
          </w:p>
        </w:tc>
      </w:tr>
    </w:tbl>
    <w:p>
      <w:pPr>
        <w:pStyle w:val="Heading2"/>
        <w:spacing w:after="120" w:before="240"/>
      </w:pPr>
      <w:r>
        <w:rPr>
          <w:b/>
          <w:bCs/>
          <w:color w:val="27221F"/>
        </w:rPr>
        <w:t xml:space="preserve">G.1.2 Dataset Description</w:t>
      </w:r>
    </w:p>
    <w:p>
      <w:pPr>
        <w:spacing w:after="160" w:line="360"/>
        <w:jc w:val="both"/>
      </w:pPr>
      <w:r>
        <w:rPr>
          <w:sz w:val="22"/>
          <w:szCs w:val="22"/>
        </w:rPr>
        <w:t xml:space="preserve">The training dataset was collected specifically for this project rather than reused from a public source, to ensure the model performs reliably under the camera placements, distances, and indoor/outdoor lighting conditions used in CAPHY's actual deployment sites.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5200"/>
      </w:tblGrid>
      <w:tr>
        <w:trPr>
          <w:tblHeader/>
        </w:trPr>
        <w:tc>
          <w:tcPr>
            <w:tcW w:type="dxa" w:w="4200"/>
            <w:shd w:fill="DDDDDD" w:val="clear"/>
            <w:tcMar>
              <w:top w:type="dxa" w:w="80"/>
              <w:left w:type="dxa" w:w="100"/>
              <w:bottom w:type="dxa" w:w="80"/>
              <w:right w:type="dxa" w:w="100"/>
            </w:tcMar>
            <w:vAlign w:val="center"/>
          </w:tcPr>
          <w:p>
            <w:pPr>
              <w:jc w:val="center"/>
            </w:pPr>
            <w:r>
              <w:rPr>
                <w:b/>
                <w:bCs/>
                <w:sz w:val="20"/>
                <w:szCs w:val="20"/>
              </w:rPr>
              <w:t xml:space="preserve">Item</w:t>
            </w:r>
          </w:p>
        </w:tc>
        <w:tc>
          <w:tcPr>
            <w:tcW w:type="dxa" w:w="5200"/>
            <w:shd w:fill="DDDDDD" w:val="clear"/>
            <w:tcMar>
              <w:top w:type="dxa" w:w="80"/>
              <w:left w:type="dxa" w:w="100"/>
              <w:bottom w:type="dxa" w:w="80"/>
              <w:right w:type="dxa" w:w="100"/>
            </w:tcMar>
            <w:vAlign w:val="center"/>
          </w:tcPr>
          <w:p>
            <w:pPr>
              <w:jc w:val="center"/>
            </w:pPr>
            <w:r>
              <w:rPr>
                <w:b/>
                <w:bCs/>
                <w:sz w:val="20"/>
                <w:szCs w:val="20"/>
              </w:rPr>
              <w:t xml:space="preserve">Value</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Total images collected</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 — total image count]</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Training set size</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Validation set size</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Train/validation split ratio</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 — e.g., 80/20]</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Collection method</w:t>
            </w:r>
          </w:p>
        </w:tc>
        <w:tc>
          <w:tcPr>
            <w:tcW w:type="dxa" w:w="5200"/>
            <w:tcMar>
              <w:top w:type="dxa" w:w="80"/>
              <w:left w:type="dxa" w:w="100"/>
              <w:bottom w:type="dxa" w:w="80"/>
              <w:right w:type="dxa" w:w="100"/>
            </w:tcMar>
            <w:vAlign w:val="center"/>
          </w:tcPr>
          <w:p>
            <w:pPr>
              <w:jc w:val="center"/>
            </w:pPr>
            <w:r>
              <w:rPr>
                <w:b w:val="false"/>
                <w:bCs w:val="false"/>
                <w:sz w:val="20"/>
                <w:szCs w:val="20"/>
              </w:rPr>
              <w:t xml:space="preserve">Captured via collect_data.py from CAPHY's own cameras across varied distances, angles, and lighting</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Annotation method</w:t>
            </w:r>
          </w:p>
        </w:tc>
        <w:tc>
          <w:tcPr>
            <w:tcW w:type="dxa" w:w="5200"/>
            <w:tcMar>
              <w:top w:type="dxa" w:w="80"/>
              <w:left w:type="dxa" w:w="100"/>
              <w:bottom w:type="dxa" w:w="80"/>
              <w:right w:type="dxa" w:w="100"/>
            </w:tcMar>
            <w:vAlign w:val="center"/>
          </w:tcPr>
          <w:p>
            <w:pPr>
              <w:jc w:val="center"/>
            </w:pPr>
            <w:r>
              <w:rPr>
                <w:b w:val="false"/>
                <w:bCs w:val="false"/>
                <w:sz w:val="20"/>
                <w:szCs w:val="20"/>
              </w:rPr>
              <w:t xml:space="preserve">Automated bounding-box labeling via auto_label.py, spot-checked manually</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Class count</w:t>
            </w:r>
          </w:p>
        </w:tc>
        <w:tc>
          <w:tcPr>
            <w:tcW w:type="dxa" w:w="5200"/>
            <w:tcMar>
              <w:top w:type="dxa" w:w="80"/>
              <w:left w:type="dxa" w:w="100"/>
              <w:bottom w:type="dxa" w:w="80"/>
              <w:right w:type="dxa" w:w="100"/>
            </w:tcMar>
            <w:vAlign w:val="center"/>
          </w:tcPr>
          <w:p>
            <w:pPr>
              <w:jc w:val="center"/>
            </w:pPr>
            <w:r>
              <w:rPr>
                <w:b w:val="false"/>
                <w:bCs w:val="false"/>
                <w:sz w:val="20"/>
                <w:szCs w:val="20"/>
              </w:rPr>
              <w:t xml:space="preserve">1 (person)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Environments represented</w:t>
            </w:r>
          </w:p>
        </w:tc>
        <w:tc>
          <w:tcPr>
            <w:tcW w:type="dxa" w:w="5200"/>
            <w:tcMar>
              <w:top w:type="dxa" w:w="80"/>
              <w:left w:type="dxa" w:w="100"/>
              <w:bottom w:type="dxa" w:w="80"/>
              <w:right w:type="dxa" w:w="100"/>
            </w:tcMar>
            <w:vAlign w:val="center"/>
          </w:tcPr>
          <w:p>
            <w:pPr>
              <w:jc w:val="center"/>
            </w:pPr>
            <w:r>
              <w:rPr>
                <w:b w:val="false"/>
                <w:bCs w:val="false"/>
                <w:sz w:val="20"/>
                <w:szCs w:val="20"/>
              </w:rPr>
              <w:t xml:space="preserve">University laboratory and residential house, day and low-light conditions</w:t>
            </w:r>
          </w:p>
        </w:tc>
      </w:tr>
    </w:tbl>
    <w:p>
      <w:pPr>
        <w:pBdr>
          <w:left w:val="single" w:color="990011" w:sz="12" w:space="8"/>
        </w:pBdr>
        <w:spacing w:after="200" w:before="80"/>
        <w:ind w:left="240"/>
      </w:pPr>
      <w:r>
        <w:rPr>
          <w:i/>
          <w:iCs/>
          <w:color w:val="990011"/>
          <w:sz w:val="21"/>
          <w:szCs w:val="21"/>
        </w:rPr>
        <w:t xml:space="preserve">[FILL IN — Insert 3–6 representative sample dataset images here (e.g., a daytime frame, a low-light frame, a partial-body frame) with short captions, if your panel wants visual evidence of dataset variety.]</w:t>
      </w:r>
    </w:p>
    <w:p>
      <w:pPr>
        <w:pStyle w:val="Heading2"/>
        <w:spacing w:after="120" w:before="240"/>
      </w:pPr>
      <w:r>
        <w:rPr>
          <w:b/>
          <w:bCs/>
          <w:color w:val="27221F"/>
        </w:rPr>
        <w:t xml:space="preserve">G.1.3 Training Configuration</w:t>
      </w:r>
    </w:p>
    <w:p>
      <w:pPr>
        <w:spacing w:after="160" w:line="360"/>
        <w:jc w:val="both"/>
      </w:pPr>
      <w:r>
        <w:rPr>
          <w:sz w:val="22"/>
          <w:szCs w:val="22"/>
        </w:rPr>
        <w:t xml:space="preserve">Training was carried out using the project's dedicated pipeline: collect_data.py for image capture, auto_label.py for automatic bounding-box annotation, split_dataset.py for the train/validation split, and train.py for the fine-tuning run itself.</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5200"/>
      </w:tblGrid>
      <w:tr>
        <w:trPr>
          <w:tblHeader/>
        </w:trPr>
        <w:tc>
          <w:tcPr>
            <w:tcW w:type="dxa" w:w="4200"/>
            <w:shd w:fill="DDDDDD" w:val="clear"/>
            <w:tcMar>
              <w:top w:type="dxa" w:w="80"/>
              <w:left w:type="dxa" w:w="100"/>
              <w:bottom w:type="dxa" w:w="80"/>
              <w:right w:type="dxa" w:w="100"/>
            </w:tcMar>
            <w:vAlign w:val="center"/>
          </w:tcPr>
          <w:p>
            <w:pPr>
              <w:jc w:val="center"/>
            </w:pPr>
            <w:r>
              <w:rPr>
                <w:b/>
                <w:bCs/>
                <w:sz w:val="20"/>
                <w:szCs w:val="20"/>
              </w:rPr>
              <w:t xml:space="preserve">Hyperparameter</w:t>
            </w:r>
          </w:p>
        </w:tc>
        <w:tc>
          <w:tcPr>
            <w:tcW w:type="dxa" w:w="5200"/>
            <w:shd w:fill="DDDDDD" w:val="clear"/>
            <w:tcMar>
              <w:top w:type="dxa" w:w="80"/>
              <w:left w:type="dxa" w:w="100"/>
              <w:bottom w:type="dxa" w:w="80"/>
              <w:right w:type="dxa" w:w="100"/>
            </w:tcMar>
            <w:vAlign w:val="center"/>
          </w:tcPr>
          <w:p>
            <w:pPr>
              <w:jc w:val="center"/>
            </w:pPr>
            <w:r>
              <w:rPr>
                <w:b/>
                <w:bCs/>
                <w:sz w:val="20"/>
                <w:szCs w:val="20"/>
              </w:rPr>
              <w:t xml:space="preserve">Value</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Epochs</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Batch size</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Image size</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Optimizer</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 — e.g., SGD/Adam, Ultralytics default unless changed]</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Learning rate</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Pretrained weights used</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 — e.g., yolov8n.pt]</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Training hardware</w:t>
            </w:r>
          </w:p>
        </w:tc>
        <w:tc>
          <w:tcPr>
            <w:tcW w:type="dxa" w:w="5200"/>
            <w:tcMar>
              <w:top w:type="dxa" w:w="80"/>
              <w:left w:type="dxa" w:w="100"/>
              <w:bottom w:type="dxa" w:w="80"/>
              <w:right w:type="dxa" w:w="100"/>
            </w:tcMar>
            <w:vAlign w:val="center"/>
          </w:tcPr>
          <w:p>
            <w:pPr>
              <w:jc w:val="center"/>
            </w:pPr>
            <w:r>
              <w:rPr>
                <w:b w:val="false"/>
                <w:bCs w:val="false"/>
                <w:sz w:val="20"/>
                <w:szCs w:val="20"/>
              </w:rPr>
              <w:t xml:space="preserve">NVIDIA RTX 3060 Laptop GPU (6GB), on the same development machine described in Appendix H</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Training duration</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bl>
    <w:p>
      <w:pPr>
        <w:pStyle w:val="Heading2"/>
        <w:spacing w:after="120" w:before="240"/>
      </w:pPr>
      <w:r>
        <w:rPr>
          <w:b/>
          <w:bCs/>
          <w:color w:val="27221F"/>
        </w:rPr>
        <w:t xml:space="preserve">G.1.4 Training Process</w:t>
      </w:r>
    </w:p>
    <w:p>
      <w:pPr>
        <w:spacing w:after="160" w:line="360"/>
        <w:jc w:val="both"/>
      </w:pPr>
      <w:r>
        <w:rPr>
          <w:sz w:val="22"/>
          <w:szCs w:val="22"/>
        </w:rPr>
        <w:t xml:space="preserve">The pipeline proceeded in four stages. First, collect_data.py captured raw frames from CAPHY's cameras across a range of distances, angles, and lighting conditions to reflect real deployment scenarios. Second, auto_label.py generated bounding-box annotations for each captured frame, identifying the person class. Third, split_dataset.py partitioned the labeled images into training and validation subsets. Fourth, train.py fine-tuned the pretrained YOLOv8-nano weights on the resulting dataset, producing the final model checkpoint saved as caphy_person_best.pt.</w:t>
      </w:r>
    </w:p>
    <w:p>
      <w:pPr>
        <w:pStyle w:val="Heading2"/>
        <w:spacing w:after="120" w:before="240"/>
      </w:pPr>
      <w:r>
        <w:rPr>
          <w:b/>
          <w:bCs/>
          <w:color w:val="27221F"/>
        </w:rPr>
        <w:t xml:space="preserve">G.1.5 Training Results</w:t>
      </w:r>
    </w:p>
    <w:p>
      <w:pPr>
        <w:spacing w:after="160" w:line="360"/>
        <w:jc w:val="both"/>
      </w:pPr>
      <w:r>
        <w:rPr>
          <w:sz w:val="22"/>
          <w:szCs w:val="22"/>
        </w:rPr>
        <w:t xml:space="preserve">The following results were recorded from the final training run. Replace the bracketed values with the actual metrics reported in your training logs (results.csv, or the console/W&amp;B output from train.py).</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200"/>
        <w:gridCol w:w="5200"/>
      </w:tblGrid>
      <w:tr>
        <w:trPr>
          <w:tblHeader/>
        </w:trPr>
        <w:tc>
          <w:tcPr>
            <w:tcW w:type="dxa" w:w="4200"/>
            <w:shd w:fill="DDDDDD" w:val="clear"/>
            <w:tcMar>
              <w:top w:type="dxa" w:w="80"/>
              <w:left w:type="dxa" w:w="100"/>
              <w:bottom w:type="dxa" w:w="80"/>
              <w:right w:type="dxa" w:w="100"/>
            </w:tcMar>
            <w:vAlign w:val="center"/>
          </w:tcPr>
          <w:p>
            <w:pPr>
              <w:jc w:val="center"/>
            </w:pPr>
            <w:r>
              <w:rPr>
                <w:b/>
                <w:bCs/>
                <w:sz w:val="20"/>
                <w:szCs w:val="20"/>
              </w:rPr>
              <w:t xml:space="preserve">Metric</w:t>
            </w:r>
          </w:p>
        </w:tc>
        <w:tc>
          <w:tcPr>
            <w:tcW w:type="dxa" w:w="5200"/>
            <w:shd w:fill="DDDDDD" w:val="clear"/>
            <w:tcMar>
              <w:top w:type="dxa" w:w="80"/>
              <w:left w:type="dxa" w:w="100"/>
              <w:bottom w:type="dxa" w:w="80"/>
              <w:right w:type="dxa" w:w="100"/>
            </w:tcMar>
            <w:vAlign w:val="center"/>
          </w:tcPr>
          <w:p>
            <w:pPr>
              <w:jc w:val="center"/>
            </w:pPr>
            <w:r>
              <w:rPr>
                <w:b/>
                <w:bCs/>
                <w:sz w:val="20"/>
                <w:szCs w:val="20"/>
              </w:rPr>
              <w:t xml:space="preserve">Value</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Final training loss</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Final validation loss</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mAP@0.5</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mAP@0.5:0.95</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r>
        <w:tc>
          <w:tcPr>
            <w:tcW w:type="dxa" w:w="4200"/>
            <w:tcMar>
              <w:top w:type="dxa" w:w="80"/>
              <w:left w:type="dxa" w:w="100"/>
              <w:bottom w:type="dxa" w:w="80"/>
              <w:right w:type="dxa" w:w="100"/>
            </w:tcMar>
            <w:vAlign w:val="center"/>
          </w:tcPr>
          <w:p>
            <w:pPr>
              <w:jc w:val="left"/>
            </w:pPr>
            <w:r>
              <w:rPr>
                <w:b w:val="false"/>
                <w:bCs w:val="false"/>
                <w:sz w:val="20"/>
                <w:szCs w:val="20"/>
              </w:rPr>
              <w:t xml:space="preserve">Best epoch (checkpoint saved)</w:t>
            </w:r>
          </w:p>
        </w:tc>
        <w:tc>
          <w:tcPr>
            <w:tcW w:type="dxa" w:w="5200"/>
            <w:tcMar>
              <w:top w:type="dxa" w:w="80"/>
              <w:left w:type="dxa" w:w="100"/>
              <w:bottom w:type="dxa" w:w="80"/>
              <w:right w:type="dxa" w:w="100"/>
            </w:tcMar>
            <w:vAlign w:val="center"/>
          </w:tcPr>
          <w:p>
            <w:pPr>
              <w:jc w:val="center"/>
            </w:pPr>
            <w:r>
              <w:rPr>
                <w:b w:val="false"/>
                <w:bCs w:val="false"/>
                <w:color w:val="990011"/>
                <w:sz w:val="20"/>
                <w:szCs w:val="20"/>
              </w:rPr>
              <w:t xml:space="preserve">[FILL IN]</w:t>
            </w:r>
          </w:p>
        </w:tc>
      </w:tr>
    </w:tbl>
    <w:p>
      <w:pPr>
        <w:pBdr>
          <w:left w:val="single" w:color="990011" w:sz="12" w:space="8"/>
        </w:pBdr>
        <w:spacing w:after="200" w:before="80"/>
        <w:ind w:left="240"/>
      </w:pPr>
      <w:r>
        <w:rPr>
          <w:i/>
          <w:iCs/>
          <w:color w:val="990011"/>
          <w:sz w:val="21"/>
          <w:szCs w:val="21"/>
        </w:rPr>
        <w:t xml:space="preserve">[FILL IN — If available, insert the training/validation loss curve and mAP curve screenshots generated by Ultralytics (typically saved automatically to the run's results.png).]</w:t>
      </w:r>
    </w:p>
    <w:p>
      <w:pPr>
        <w:pStyle w:val="Heading2"/>
        <w:spacing w:after="120" w:before="240"/>
      </w:pPr>
      <w:r>
        <w:rPr>
          <w:b/>
          <w:bCs/>
          <w:color w:val="27221F"/>
        </w:rPr>
        <w:t xml:space="preserve">G.1.6 Model Performance (Applied, System-Level)</w:t>
      </w:r>
    </w:p>
    <w:p>
      <w:pPr>
        <w:spacing w:after="160" w:line="360"/>
        <w:jc w:val="both"/>
      </w:pPr>
      <w:r>
        <w:rPr>
          <w:sz w:val="22"/>
          <w:szCs w:val="22"/>
        </w:rPr>
        <w:t xml:space="preserve">Beyond raw training metrics, the model's applied performance was evaluated as part of CAPHY's full detection pipeline during functional testing (see Appendix G.4 and Appendix G below for full records). Across 45 functional trials, the two-factor pipeline — of which YOLOv8-nano is the second, human-verification factor — achieved 88.9% accuracy, 100.0% precision, 85.7% recall, and a 92.3% F1-score, with zero false positives and all five false negatives occurring specifically under low-light conditions.</w:t>
      </w:r>
    </w:p>
    <w:p>
      <w:pPr>
        <w:pStyle w:val="Heading2"/>
        <w:spacing w:after="120" w:before="240"/>
      </w:pPr>
      <w:r>
        <w:rPr>
          <w:b/>
          <w:bCs/>
          <w:color w:val="27221F"/>
        </w:rPr>
        <w:t xml:space="preserve">G.1.7 Detection Classes</w:t>
      </w:r>
    </w:p>
    <w:p>
      <w:pPr>
        <w:spacing w:after="160" w:line="360"/>
        <w:jc w:val="both"/>
      </w:pPr>
      <w:r>
        <w:rPr>
          <w:sz w:val="22"/>
          <w:szCs w:val="22"/>
        </w:rPr>
        <w:t xml:space="preserve">The fine-tuned model is single-class: it detects only the person class. This is a deliberate design choice — CAPHY does not need to classify the type of non-human object causing motion (e.g., a cat versus a swaying tree); it only needs to confirm whether a human is present, since that confirmation is what gates every downstream alert.</w:t>
      </w:r>
    </w:p>
    <w:p>
      <w:pPr>
        <w:pStyle w:val="Heading1"/>
        <w:spacing w:after="160" w:before="320"/>
      </w:pPr>
      <w:r>
        <w:rPr>
          <w:b/>
          <w:bCs/>
          <w:color w:val="990011"/>
        </w:rPr>
        <w:t xml:space="preserve">G.2 Two-Factor Detection</w:t>
      </w:r>
    </w:p>
    <w:p>
      <w:pPr>
        <w:pStyle w:val="Heading2"/>
        <w:spacing w:after="120" w:before="240"/>
      </w:pPr>
      <w:r>
        <w:rPr>
          <w:b/>
          <w:bCs/>
          <w:color w:val="27221F"/>
        </w:rPr>
        <w:t xml:space="preserve">G.2.1 Factor 1 — Motion Detection</w:t>
      </w:r>
    </w:p>
    <w:p>
      <w:pPr>
        <w:spacing w:after="160" w:line="360"/>
        <w:jc w:val="both"/>
      </w:pPr>
      <w:r>
        <w:rPr>
          <w:sz w:val="22"/>
          <w:szCs w:val="22"/>
        </w:rPr>
        <w:t xml:space="preserve">The first factor is a lightweight, CPU-cheap motion trigger built on OpenCV, designed to run continuously without invoking the heavier YOLOv8-nano model on every frame. This keeps CAPHY responsive on repurposed hardware by reserving the expensive verification step for frames that actually contain motion.</w:t>
      </w:r>
    </w:p>
    <w:p>
      <w:pPr>
        <w:pStyle w:val="Heading3"/>
        <w:spacing w:after="100" w:before="180"/>
      </w:pPr>
      <w:r>
        <w:rPr>
          <w:b/>
          <w:bCs/>
          <w:i/>
          <w:iCs/>
          <w:color w:val="27221F"/>
          <w:sz w:val="22"/>
          <w:szCs w:val="22"/>
        </w:rPr>
        <w:t xml:space="preserve">OpenCV Motion Detection</w:t>
      </w:r>
    </w:p>
    <w:p>
      <w:pPr>
        <w:spacing w:after="160" w:line="360"/>
        <w:jc w:val="both"/>
      </w:pPr>
      <w:r>
        <w:rPr>
          <w:sz w:val="22"/>
          <w:szCs w:val="22"/>
        </w:rPr>
        <w:t xml:space="preserve">Incoming camera frames are continuously compared against a reference background to detect regions of pixel-level change. Only frames where a motion region exceeds a minimum size/sensitivity threshold are passed forward to Factor 2 for person verification, filtering out camera noise and negligible movement before any AI inference is triggered.</w:t>
      </w:r>
    </w:p>
    <w:p>
      <w:pPr>
        <w:pStyle w:val="Heading3"/>
        <w:spacing w:after="100" w:before="180"/>
      </w:pPr>
      <w:r>
        <w:rPr>
          <w:b/>
          <w:bCs/>
          <w:i/>
          <w:iCs/>
          <w:color w:val="27221F"/>
          <w:sz w:val="22"/>
          <w:szCs w:val="22"/>
        </w:rPr>
        <w:t xml:space="preserve">Frame Differencing / MOG2</w:t>
      </w:r>
    </w:p>
    <w:p>
      <w:pPr>
        <w:spacing w:after="160" w:line="360"/>
        <w:jc w:val="both"/>
      </w:pPr>
      <w:r>
        <w:rPr>
          <w:sz w:val="22"/>
          <w:szCs w:val="22"/>
        </w:rPr>
        <w:t xml:space="preserve">[FILL IN — confirm and describe which specific OpenCV background-subtraction method your implementation uses: simple frame differencing between consecutive frames, or the MOG2 (Mixture of Gaussians) background subtractor, which adapts to gradual lighting changes and is generally more robust outdoors. State the sensitivity/threshold value used, if configurable in Settings.]</w:t>
      </w:r>
    </w:p>
    <w:p>
      <w:pPr>
        <w:pStyle w:val="Heading3"/>
        <w:spacing w:after="100" w:before="180"/>
      </w:pPr>
      <w:r>
        <w:rPr>
          <w:b/>
          <w:bCs/>
          <w:i/>
          <w:iCs/>
          <w:color w:val="27221F"/>
          <w:sz w:val="22"/>
          <w:szCs w:val="22"/>
        </w:rPr>
        <w:t xml:space="preserve">CLAHE / Night Vision Processing</w:t>
      </w:r>
    </w:p>
    <w:p>
      <w:pPr>
        <w:spacing w:after="160" w:line="360"/>
        <w:jc w:val="both"/>
      </w:pPr>
      <w:r>
        <w:rPr>
          <w:sz w:val="22"/>
          <w:szCs w:val="22"/>
        </w:rPr>
        <w:t xml:space="preserve">Contrast-Limited Adaptive Histogram Equalization (CLAHE) is applied to enhance local image contrast under low-light conditions before motion detection and person verification are attempted, improving visibility of otherwise poorly-lit regions of a frame. This enhancement is the system's Night Vision setting. While CLAHE improves detectability in dim conditions, it cannot fully compensate when insufficient visual information is captured by the camera sensor itself, which is the documented source of CAPHY's five low-light false negatives (TC008).</w:t>
      </w:r>
    </w:p>
    <w:p>
      <w:pPr>
        <w:pStyle w:val="Heading2"/>
        <w:spacing w:after="120" w:before="240"/>
      </w:pPr>
      <w:r>
        <w:rPr>
          <w:b/>
          <w:bCs/>
          <w:color w:val="27221F"/>
        </w:rPr>
        <w:t xml:space="preserve">G.2.2 Factor 2 — Person Validation</w:t>
      </w:r>
    </w:p>
    <w:p>
      <w:pPr>
        <w:spacing w:after="160" w:line="360"/>
        <w:jc w:val="both"/>
      </w:pPr>
      <w:r>
        <w:rPr>
          <w:sz w:val="22"/>
          <w:szCs w:val="22"/>
        </w:rPr>
        <w:t xml:space="preserve">Only frames flagged by Factor 1 as containing motion are passed to the fine-tuned YOLOv8-nano model described in G.1. This second factor exists specifically to eliminate false alarms from non-human motion (stray animals, swaying trees/plants, shadows) — the leading cause of alert fatigue in conventional motion-only security systems.</w:t>
      </w:r>
    </w:p>
    <w:p>
      <w:pPr>
        <w:pStyle w:val="Heading3"/>
        <w:spacing w:after="100" w:before="180"/>
      </w:pPr>
      <w:r>
        <w:rPr>
          <w:b/>
          <w:bCs/>
          <w:i/>
          <w:iCs/>
          <w:color w:val="27221F"/>
          <w:sz w:val="22"/>
          <w:szCs w:val="22"/>
        </w:rPr>
        <w:t xml:space="preserve">Person Confidence Threshold</w:t>
      </w:r>
    </w:p>
    <w:p>
      <w:pPr>
        <w:spacing w:after="160" w:line="360"/>
        <w:jc w:val="both"/>
      </w:pPr>
      <w:r>
        <w:rPr>
          <w:sz w:val="22"/>
          <w:szCs w:val="22"/>
        </w:rPr>
        <w:t xml:space="preserve">[FILL IN — state the exact confidence threshold used to accept a YOLOv8-nano detection as a confirmed person, e.g., 0.5 / 0.6 / 0.7, and whether this is configurable in system Settings.]</w:t>
      </w:r>
    </w:p>
    <w:p>
      <w:pPr>
        <w:pStyle w:val="Heading3"/>
        <w:spacing w:after="100" w:before="180"/>
      </w:pPr>
      <w:r>
        <w:rPr>
          <w:b/>
          <w:bCs/>
          <w:i/>
          <w:iCs/>
          <w:color w:val="27221F"/>
          <w:sz w:val="22"/>
          <w:szCs w:val="22"/>
        </w:rPr>
        <w:t xml:space="preserve">Person Detection Process</w:t>
      </w:r>
    </w:p>
    <w:p>
      <w:pPr>
        <w:spacing w:after="160" w:line="360"/>
        <w:jc w:val="both"/>
      </w:pPr>
      <w:r>
        <w:rPr>
          <w:sz w:val="22"/>
          <w:szCs w:val="22"/>
        </w:rPr>
        <w:t xml:space="preserve">Each motion-flagged frame is passed through the fine-tuned YOLOv8-nano model. If the model returns a person-class detection at or above the configured confidence threshold, the detection is confirmed as human and the frame's bounding box is passed forward for distance estimation and threat-tier classification (Section G.3). If no person-class detection meets the threshold, the event is discarded as non-human motion and no alert is generated — this is the mechanism responsible for CAPHY's 100.0% precision and zero recorded false positives across 45 functional trials.</w:t>
      </w:r>
    </w:p>
    <w:p>
      <w:pPr>
        <w:pStyle w:val="Heading1"/>
        <w:spacing w:after="160" w:before="320"/>
      </w:pPr>
      <w:r>
        <w:rPr>
          <w:b/>
          <w:bCs/>
          <w:color w:val="990011"/>
        </w:rPr>
        <w:t xml:space="preserve">G.3 Threat-Level Logic</w:t>
      </w:r>
    </w:p>
    <w:p>
      <w:pPr>
        <w:pStyle w:val="Heading2"/>
        <w:spacing w:after="120" w:before="240"/>
      </w:pPr>
      <w:r>
        <w:rPr>
          <w:b/>
          <w:bCs/>
          <w:color w:val="27221F"/>
        </w:rPr>
        <w:t xml:space="preserve">G.3.1 Distance Calculation</w:t>
      </w:r>
    </w:p>
    <w:p>
      <w:pPr>
        <w:spacing w:after="160" w:line="360"/>
        <w:jc w:val="both"/>
      </w:pPr>
      <w:r>
        <w:rPr>
          <w:sz w:val="22"/>
          <w:szCs w:val="22"/>
        </w:rPr>
        <w:t xml:space="preserve">Once a person is confirmed by Factor 2, CAPHY estimates the subject's distance from the camera using the height of the returned bounding box: closer subjects produce taller bounding boxes, and farther subjects produce shorter ones. [FILL IN — if you use a specific calibrated formula (e.g., a reference height/focal-length calculation) rather than a general proportional estimate, state the exact formula and any calibration constants used.]</w:t>
      </w:r>
    </w:p>
    <w:p>
      <w:pPr>
        <w:pStyle w:val="Heading2"/>
        <w:spacing w:after="120" w:before="240"/>
      </w:pPr>
      <w:r>
        <w:rPr>
          <w:b/>
          <w:bCs/>
          <w:color w:val="27221F"/>
        </w:rPr>
        <w:t xml:space="preserve">G.3.2 Threat-Tier Classification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4600"/>
      </w:tblGrid>
      <w:tr>
        <w:trPr>
          <w:tblHeader/>
        </w:trPr>
        <w:tc>
          <w:tcPr>
            <w:tcW w:type="dxa" w:w="1600"/>
            <w:shd w:fill="DDDDDD" w:val="clear"/>
            <w:tcMar>
              <w:top w:type="dxa" w:w="80"/>
              <w:left w:type="dxa" w:w="100"/>
              <w:bottom w:type="dxa" w:w="80"/>
              <w:right w:type="dxa" w:w="100"/>
            </w:tcMar>
            <w:vAlign w:val="center"/>
          </w:tcPr>
          <w:p>
            <w:pPr>
              <w:jc w:val="center"/>
            </w:pPr>
            <w:r>
              <w:rPr>
                <w:b/>
                <w:bCs/>
                <w:sz w:val="20"/>
                <w:szCs w:val="20"/>
              </w:rPr>
              <w:t xml:space="preserve">Tier</w:t>
            </w:r>
          </w:p>
        </w:tc>
        <w:tc>
          <w:tcPr>
            <w:tcW w:type="dxa" w:w="3200"/>
            <w:shd w:fill="DDDDDD" w:val="clear"/>
            <w:tcMar>
              <w:top w:type="dxa" w:w="80"/>
              <w:left w:type="dxa" w:w="100"/>
              <w:bottom w:type="dxa" w:w="80"/>
              <w:right w:type="dxa" w:w="100"/>
            </w:tcMar>
            <w:vAlign w:val="center"/>
          </w:tcPr>
          <w:p>
            <w:pPr>
              <w:jc w:val="center"/>
            </w:pPr>
            <w:r>
              <w:rPr>
                <w:b/>
                <w:bCs/>
                <w:sz w:val="20"/>
                <w:szCs w:val="20"/>
              </w:rPr>
              <w:t xml:space="preserve">Distance</w:t>
            </w:r>
          </w:p>
        </w:tc>
        <w:tc>
          <w:tcPr>
            <w:tcW w:type="dxa" w:w="4600"/>
            <w:shd w:fill="DDDDDD" w:val="clear"/>
            <w:tcMar>
              <w:top w:type="dxa" w:w="80"/>
              <w:left w:type="dxa" w:w="100"/>
              <w:bottom w:type="dxa" w:w="80"/>
              <w:right w:type="dxa" w:w="100"/>
            </w:tcMar>
            <w:vAlign w:val="center"/>
          </w:tcPr>
          <w:p>
            <w:pPr>
              <w:jc w:val="center"/>
            </w:pPr>
            <w:r>
              <w:rPr>
                <w:b/>
                <w:bCs/>
                <w:sz w:val="20"/>
                <w:szCs w:val="20"/>
              </w:rPr>
              <w:t xml:space="preserve">Response</w:t>
            </w:r>
          </w:p>
        </w:tc>
      </w:tr>
      <w:tr>
        <w:tc>
          <w:tcPr>
            <w:tcW w:type="dxa" w:w="1600"/>
            <w:tcMar>
              <w:top w:type="dxa" w:w="80"/>
              <w:left w:type="dxa" w:w="100"/>
              <w:bottom w:type="dxa" w:w="80"/>
              <w:right w:type="dxa" w:w="100"/>
            </w:tcMar>
            <w:vAlign w:val="center"/>
          </w:tcPr>
          <w:p>
            <w:pPr>
              <w:jc w:val="left"/>
            </w:pPr>
            <w:r>
              <w:rPr>
                <w:b w:val="false"/>
                <w:bCs w:val="false"/>
                <w:sz w:val="20"/>
                <w:szCs w:val="20"/>
              </w:rPr>
              <w:t xml:space="preserve">Tier 1</w:t>
            </w:r>
          </w:p>
        </w:tc>
        <w:tc>
          <w:tcPr>
            <w:tcW w:type="dxa" w:w="3200"/>
            <w:tcMar>
              <w:top w:type="dxa" w:w="80"/>
              <w:left w:type="dxa" w:w="100"/>
              <w:bottom w:type="dxa" w:w="80"/>
              <w:right w:type="dxa" w:w="100"/>
            </w:tcMar>
            <w:vAlign w:val="center"/>
          </w:tcPr>
          <w:p>
            <w:pPr>
              <w:jc w:val="center"/>
            </w:pPr>
            <w:r>
              <w:rPr>
                <w:b w:val="false"/>
                <w:bCs w:val="false"/>
                <w:sz w:val="20"/>
                <w:szCs w:val="20"/>
              </w:rPr>
              <w:t xml:space="preserve">&gt; 4.5 m</w:t>
            </w:r>
          </w:p>
        </w:tc>
        <w:tc>
          <w:tcPr>
            <w:tcW w:type="dxa" w:w="4600"/>
            <w:tcMar>
              <w:top w:type="dxa" w:w="80"/>
              <w:left w:type="dxa" w:w="100"/>
              <w:bottom w:type="dxa" w:w="80"/>
              <w:right w:type="dxa" w:w="100"/>
            </w:tcMar>
            <w:vAlign w:val="center"/>
          </w:tcPr>
          <w:p>
            <w:pPr>
              <w:jc w:val="center"/>
            </w:pPr>
            <w:r>
              <w:rPr>
                <w:b w:val="false"/>
                <w:bCs w:val="false"/>
                <w:sz w:val="20"/>
                <w:szCs w:val="20"/>
              </w:rPr>
              <w:t xml:space="preserve">Snapshot captured and notification sent</w:t>
            </w:r>
          </w:p>
        </w:tc>
      </w:tr>
      <w:tr>
        <w:tc>
          <w:tcPr>
            <w:tcW w:type="dxa" w:w="1600"/>
            <w:tcMar>
              <w:top w:type="dxa" w:w="80"/>
              <w:left w:type="dxa" w:w="100"/>
              <w:bottom w:type="dxa" w:w="80"/>
              <w:right w:type="dxa" w:w="100"/>
            </w:tcMar>
            <w:vAlign w:val="center"/>
          </w:tcPr>
          <w:p>
            <w:pPr>
              <w:jc w:val="left"/>
            </w:pPr>
            <w:r>
              <w:rPr>
                <w:b w:val="false"/>
                <w:bCs w:val="false"/>
                <w:sz w:val="20"/>
                <w:szCs w:val="20"/>
              </w:rPr>
              <w:t xml:space="preserve">Tier 2</w:t>
            </w:r>
          </w:p>
        </w:tc>
        <w:tc>
          <w:tcPr>
            <w:tcW w:type="dxa" w:w="3200"/>
            <w:tcMar>
              <w:top w:type="dxa" w:w="80"/>
              <w:left w:type="dxa" w:w="100"/>
              <w:bottom w:type="dxa" w:w="80"/>
              <w:right w:type="dxa" w:w="100"/>
            </w:tcMar>
            <w:vAlign w:val="center"/>
          </w:tcPr>
          <w:p>
            <w:pPr>
              <w:jc w:val="center"/>
            </w:pPr>
            <w:r>
              <w:rPr>
                <w:b w:val="false"/>
                <w:bCs w:val="false"/>
                <w:sz w:val="20"/>
                <w:szCs w:val="20"/>
              </w:rPr>
              <w:t xml:space="preserve">2.5 m – 4.5 m</w:t>
            </w:r>
          </w:p>
        </w:tc>
        <w:tc>
          <w:tcPr>
            <w:tcW w:type="dxa" w:w="4600"/>
            <w:tcMar>
              <w:top w:type="dxa" w:w="80"/>
              <w:left w:type="dxa" w:w="100"/>
              <w:bottom w:type="dxa" w:w="80"/>
              <w:right w:type="dxa" w:w="100"/>
            </w:tcMar>
            <w:vAlign w:val="center"/>
          </w:tcPr>
          <w:p>
            <w:pPr>
              <w:jc w:val="center"/>
            </w:pPr>
            <w:r>
              <w:rPr>
                <w:b w:val="false"/>
                <w:bCs w:val="false"/>
                <w:sz w:val="20"/>
                <w:szCs w:val="20"/>
              </w:rPr>
              <w:t xml:space="preserve">Adds a short video clip to the Tier 1 response</w:t>
            </w:r>
          </w:p>
        </w:tc>
      </w:tr>
      <w:tr>
        <w:tc>
          <w:tcPr>
            <w:tcW w:type="dxa" w:w="1600"/>
            <w:tcMar>
              <w:top w:type="dxa" w:w="80"/>
              <w:left w:type="dxa" w:w="100"/>
              <w:bottom w:type="dxa" w:w="80"/>
              <w:right w:type="dxa" w:w="100"/>
            </w:tcMar>
            <w:vAlign w:val="center"/>
          </w:tcPr>
          <w:p>
            <w:pPr>
              <w:jc w:val="left"/>
            </w:pPr>
            <w:r>
              <w:rPr>
                <w:b w:val="false"/>
                <w:bCs w:val="false"/>
                <w:sz w:val="20"/>
                <w:szCs w:val="20"/>
              </w:rPr>
              <w:t xml:space="preserve">Tier 3</w:t>
            </w:r>
          </w:p>
        </w:tc>
        <w:tc>
          <w:tcPr>
            <w:tcW w:type="dxa" w:w="3200"/>
            <w:tcMar>
              <w:top w:type="dxa" w:w="80"/>
              <w:left w:type="dxa" w:w="100"/>
              <w:bottom w:type="dxa" w:w="80"/>
              <w:right w:type="dxa" w:w="100"/>
            </w:tcMar>
            <w:vAlign w:val="center"/>
          </w:tcPr>
          <w:p>
            <w:pPr>
              <w:jc w:val="center"/>
            </w:pPr>
            <w:r>
              <w:rPr>
                <w:b w:val="false"/>
                <w:bCs w:val="false"/>
                <w:sz w:val="20"/>
                <w:szCs w:val="20"/>
              </w:rPr>
              <w:t xml:space="preserve">&lt; 2.5 m</w:t>
            </w:r>
          </w:p>
        </w:tc>
        <w:tc>
          <w:tcPr>
            <w:tcW w:type="dxa" w:w="4600"/>
            <w:tcMar>
              <w:top w:type="dxa" w:w="80"/>
              <w:left w:type="dxa" w:w="100"/>
              <w:bottom w:type="dxa" w:w="80"/>
              <w:right w:type="dxa" w:w="100"/>
            </w:tcMar>
            <w:vAlign w:val="center"/>
          </w:tcPr>
          <w:p>
            <w:pPr>
              <w:jc w:val="center"/>
            </w:pPr>
            <w:r>
              <w:rPr>
                <w:b w:val="false"/>
                <w:bCs w:val="false"/>
                <w:sz w:val="20"/>
                <w:szCs w:val="20"/>
              </w:rPr>
              <w:t xml:space="preserve">Adds siren activation to the Tier 2 response</w:t>
            </w:r>
          </w:p>
        </w:tc>
      </w:tr>
    </w:tbl>
    <w:p>
      <w:pPr>
        <w:pStyle w:val="Heading2"/>
        <w:spacing w:after="120" w:before="240"/>
      </w:pPr>
      <w:r>
        <w:rPr>
          <w:b/>
          <w:bCs/>
          <w:color w:val="27221F"/>
        </w:rPr>
        <w:t xml:space="preserve">G.3.3 Smoothing</w:t>
      </w:r>
    </w:p>
    <w:p>
      <w:pPr>
        <w:spacing w:after="160" w:line="360"/>
        <w:jc w:val="both"/>
      </w:pPr>
      <w:r>
        <w:rPr>
          <w:sz w:val="22"/>
          <w:szCs w:val="22"/>
        </w:rPr>
        <w:t xml:space="preserve">Raw per-frame distance estimates can fluctuate slightly from frame to frame even for a stationary subject, due to minor bounding-box jitter. CAPHY applies smoothing across a short window of recent frames before committing to a distance value, preventing a single noisy frame from triggering an incorrect tier.</w:t>
      </w:r>
    </w:p>
    <w:p>
      <w:pPr>
        <w:pStyle w:val="Heading2"/>
        <w:spacing w:after="120" w:before="240"/>
      </w:pPr>
      <w:r>
        <w:rPr>
          <w:b/>
          <w:bCs/>
          <w:color w:val="27221F"/>
        </w:rPr>
        <w:t xml:space="preserve">G.3.4 Hysteresis</w:t>
      </w:r>
    </w:p>
    <w:p>
      <w:pPr>
        <w:spacing w:after="160" w:line="360"/>
        <w:jc w:val="both"/>
      </w:pPr>
      <w:r>
        <w:rPr>
          <w:sz w:val="22"/>
          <w:szCs w:val="22"/>
        </w:rPr>
        <w:t xml:space="preserve">To prevent rapid tier flapping when a subject is positioned near a tier boundary (for example, hovering around the 4.5m Tier 1/Tier 2 threshold), CAPHY applies hysteresis: a subject must cross a tier boundary by a margin, or sustain the new distance across multiple smoothed readings, before the system commits to escalating or de-escalating the threat tier. This keeps alert behavior stable rather than triggering repeated tier changes for small movements at a boundary.</w:t>
      </w:r>
    </w:p>
    <w:p>
      <w:pPr>
        <w:pStyle w:val="Heading2"/>
        <w:spacing w:after="120" w:before="240"/>
      </w:pPr>
      <w:r>
        <w:rPr>
          <w:b/>
          <w:bCs/>
          <w:color w:val="27221F"/>
        </w:rPr>
        <w:t xml:space="preserve">G.3.5 Arming Behavior</w:t>
      </w:r>
    </w:p>
    <w:p>
      <w:pPr>
        <w:spacing w:after="160" w:line="360"/>
        <w:jc w:val="both"/>
      </w:pPr>
      <w:r>
        <w:rPr>
          <w:sz w:val="22"/>
          <w:szCs w:val="22"/>
        </w:rPr>
        <w:t xml:space="preserve">In Armed Mode, all confirmed human detections — regardless of estimated distance — are escalated directly to the full Tier 3 response (snapshot, video clip, and siren), reflecting that any human presence while the system is armed represents a full-priority event. In Disarmed/normal monitoring mode, the standard distance-based Tier 1–3 classification in G.3.2 applies.</w:t>
      </w:r>
    </w:p>
    <w:p>
      <w:pPr>
        <w:pStyle w:val="Heading1"/>
        <w:spacing w:after="160" w:before="320"/>
      </w:pPr>
      <w:r>
        <w:rPr>
          <w:b/>
          <w:bCs/>
          <w:color w:val="990011"/>
        </w:rPr>
        <w:t xml:space="preserve">G.4 Model Testing</w:t>
      </w:r>
    </w:p>
    <w:p>
      <w:pPr>
        <w:spacing w:after="160" w:line="360"/>
        <w:jc w:val="both"/>
      </w:pPr>
      <w:r>
        <w:rPr>
          <w:sz w:val="22"/>
          <w:szCs w:val="22"/>
        </w:rPr>
        <w:t xml:space="preserve">The following results summarize the applied, system-level testing of the two-factor detection pipeline (motion detection + person validation) across the full functional test suite: nine scenarios (TC001–TC009), five trials each, 45 trials total. Full per-trial records are provided separately in the Detailed Functional Test Records appendix.</w:t>
      </w:r>
    </w:p>
    <w:p>
      <w:pPr>
        <w:pStyle w:val="Heading2"/>
        <w:spacing w:after="120" w:before="240"/>
      </w:pPr>
      <w:r>
        <w:rPr>
          <w:b/>
          <w:bCs/>
          <w:color w:val="27221F"/>
        </w:rPr>
        <w:t xml:space="preserve">G.4.1 Confusion Matrix</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DDDDDD" w:val="clear"/>
            <w:tcMar>
              <w:top w:type="dxa" w:w="80"/>
              <w:left w:type="dxa" w:w="100"/>
              <w:bottom w:type="dxa" w:w="80"/>
              <w:right w:type="dxa" w:w="100"/>
            </w:tcMar>
            <w:vAlign w:val="center"/>
          </w:tcPr>
          <w:p>
            <w:pPr>
              <w:jc w:val="center"/>
            </w:pPr>
            <w:r>
              <w:rPr>
                <w:b/>
                <w:bCs/>
                <w:sz w:val="20"/>
                <w:szCs w:val="20"/>
              </w:rPr>
              <w:t xml:space="preserve"/>
            </w:r>
          </w:p>
        </w:tc>
        <w:tc>
          <w:tcPr>
            <w:tcW w:type="dxa" w:w="3200"/>
            <w:shd w:fill="DDDDDD" w:val="clear"/>
            <w:tcMar>
              <w:top w:type="dxa" w:w="80"/>
              <w:left w:type="dxa" w:w="100"/>
              <w:bottom w:type="dxa" w:w="80"/>
              <w:right w:type="dxa" w:w="100"/>
            </w:tcMar>
            <w:vAlign w:val="center"/>
          </w:tcPr>
          <w:p>
            <w:pPr>
              <w:jc w:val="center"/>
            </w:pPr>
            <w:r>
              <w:rPr>
                <w:b/>
                <w:bCs/>
                <w:sz w:val="20"/>
                <w:szCs w:val="20"/>
              </w:rPr>
              <w:t xml:space="preserve">Predicted: Person</w:t>
            </w:r>
          </w:p>
        </w:tc>
        <w:tc>
          <w:tcPr>
            <w:tcW w:type="dxa" w:w="3200"/>
            <w:shd w:fill="DDDDDD" w:val="clear"/>
            <w:tcMar>
              <w:top w:type="dxa" w:w="80"/>
              <w:left w:type="dxa" w:w="100"/>
              <w:bottom w:type="dxa" w:w="80"/>
              <w:right w:type="dxa" w:w="100"/>
            </w:tcMar>
            <w:vAlign w:val="center"/>
          </w:tcPr>
          <w:p>
            <w:pPr>
              <w:jc w:val="center"/>
            </w:pPr>
            <w:r>
              <w:rPr>
                <w:b/>
                <w:bCs/>
                <w:sz w:val="20"/>
                <w:szCs w:val="20"/>
              </w:rPr>
              <w:t xml:space="preserve">Predicted: No Person</w:t>
            </w:r>
          </w:p>
        </w:tc>
      </w:tr>
      <w:tr>
        <w:tc>
          <w:tcPr>
            <w:tcW w:type="dxa" w:w="3200"/>
            <w:tcMar>
              <w:top w:type="dxa" w:w="80"/>
              <w:left w:type="dxa" w:w="100"/>
              <w:bottom w:type="dxa" w:w="80"/>
              <w:right w:type="dxa" w:w="100"/>
            </w:tcMar>
            <w:vAlign w:val="center"/>
          </w:tcPr>
          <w:p>
            <w:pPr>
              <w:jc w:val="left"/>
            </w:pPr>
            <w:r>
              <w:rPr>
                <w:b w:val="false"/>
                <w:bCs w:val="false"/>
                <w:sz w:val="20"/>
                <w:szCs w:val="20"/>
              </w:rPr>
              <w:t xml:space="preserve">Actual: Person</w:t>
            </w:r>
          </w:p>
        </w:tc>
        <w:tc>
          <w:tcPr>
            <w:tcW w:type="dxa" w:w="3200"/>
            <w:tcMar>
              <w:top w:type="dxa" w:w="80"/>
              <w:left w:type="dxa" w:w="100"/>
              <w:bottom w:type="dxa" w:w="80"/>
              <w:right w:type="dxa" w:w="100"/>
            </w:tcMar>
            <w:vAlign w:val="center"/>
          </w:tcPr>
          <w:p>
            <w:pPr>
              <w:jc w:val="center"/>
            </w:pPr>
            <w:r>
              <w:rPr>
                <w:b w:val="false"/>
                <w:bCs w:val="false"/>
                <w:sz w:val="20"/>
                <w:szCs w:val="20"/>
              </w:rPr>
              <w:t xml:space="preserve">TP = 30</w:t>
            </w:r>
          </w:p>
        </w:tc>
        <w:tc>
          <w:tcPr>
            <w:tcW w:type="dxa" w:w="3200"/>
            <w:tcMar>
              <w:top w:type="dxa" w:w="80"/>
              <w:left w:type="dxa" w:w="100"/>
              <w:bottom w:type="dxa" w:w="80"/>
              <w:right w:type="dxa" w:w="100"/>
            </w:tcMar>
            <w:vAlign w:val="center"/>
          </w:tcPr>
          <w:p>
            <w:pPr>
              <w:jc w:val="center"/>
            </w:pPr>
            <w:r>
              <w:rPr>
                <w:b w:val="false"/>
                <w:bCs w:val="false"/>
                <w:sz w:val="20"/>
                <w:szCs w:val="20"/>
              </w:rPr>
              <w:t xml:space="preserve">FN = 5</w:t>
            </w:r>
          </w:p>
        </w:tc>
      </w:tr>
      <w:tr>
        <w:tc>
          <w:tcPr>
            <w:tcW w:type="dxa" w:w="3200"/>
            <w:tcMar>
              <w:top w:type="dxa" w:w="80"/>
              <w:left w:type="dxa" w:w="100"/>
              <w:bottom w:type="dxa" w:w="80"/>
              <w:right w:type="dxa" w:w="100"/>
            </w:tcMar>
            <w:vAlign w:val="center"/>
          </w:tcPr>
          <w:p>
            <w:pPr>
              <w:jc w:val="left"/>
            </w:pPr>
            <w:r>
              <w:rPr>
                <w:b w:val="false"/>
                <w:bCs w:val="false"/>
                <w:sz w:val="20"/>
                <w:szCs w:val="20"/>
              </w:rPr>
              <w:t xml:space="preserve">Actual: No Person</w:t>
            </w:r>
          </w:p>
        </w:tc>
        <w:tc>
          <w:tcPr>
            <w:tcW w:type="dxa" w:w="3200"/>
            <w:tcMar>
              <w:top w:type="dxa" w:w="80"/>
              <w:left w:type="dxa" w:w="100"/>
              <w:bottom w:type="dxa" w:w="80"/>
              <w:right w:type="dxa" w:w="100"/>
            </w:tcMar>
            <w:vAlign w:val="center"/>
          </w:tcPr>
          <w:p>
            <w:pPr>
              <w:jc w:val="center"/>
            </w:pPr>
            <w:r>
              <w:rPr>
                <w:b w:val="false"/>
                <w:bCs w:val="false"/>
                <w:sz w:val="20"/>
                <w:szCs w:val="20"/>
              </w:rPr>
              <w:t xml:space="preserve">FP = 0</w:t>
            </w:r>
          </w:p>
        </w:tc>
        <w:tc>
          <w:tcPr>
            <w:tcW w:type="dxa" w:w="3200"/>
            <w:tcMar>
              <w:top w:type="dxa" w:w="80"/>
              <w:left w:type="dxa" w:w="100"/>
              <w:bottom w:type="dxa" w:w="80"/>
              <w:right w:type="dxa" w:w="100"/>
            </w:tcMar>
            <w:vAlign w:val="center"/>
          </w:tcPr>
          <w:p>
            <w:pPr>
              <w:jc w:val="center"/>
            </w:pPr>
            <w:r>
              <w:rPr>
                <w:b w:val="false"/>
                <w:bCs w:val="false"/>
                <w:sz w:val="20"/>
                <w:szCs w:val="20"/>
              </w:rPr>
              <w:t xml:space="preserve">TN = 10</w:t>
            </w:r>
          </w:p>
        </w:tc>
      </w:tr>
    </w:tbl>
    <w:p>
      <w:pPr>
        <w:spacing w:after="160" w:line="360"/>
        <w:jc w:val="both"/>
      </w:pPr>
      <w:r>
        <w:rPr>
          <w:sz w:val="22"/>
          <w:szCs w:val="22"/>
        </w:rPr>
        <w:t xml:space="preserve">All five false negatives occurred under the low-light test scenario (TC008); no false positives were recorded in any of the 45 trials.</w:t>
      </w:r>
    </w:p>
    <w:p>
      <w:pPr>
        <w:pStyle w:val="Heading2"/>
        <w:spacing w:after="120" w:before="240"/>
      </w:pPr>
      <w:r>
        <w:rPr>
          <w:b/>
          <w:bCs/>
          <w:color w:val="27221F"/>
        </w:rPr>
        <w:t xml:space="preserve">G.4.2 Performance Metrics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400"/>
      </w:tblGrid>
      <w:tr>
        <w:trPr>
          <w:tblHeader/>
        </w:trPr>
        <w:tc>
          <w:tcPr>
            <w:tcW w:type="dxa" w:w="2600"/>
            <w:shd w:fill="DDDDDD" w:val="clear"/>
            <w:tcMar>
              <w:top w:type="dxa" w:w="80"/>
              <w:left w:type="dxa" w:w="100"/>
              <w:bottom w:type="dxa" w:w="80"/>
              <w:right w:type="dxa" w:w="100"/>
            </w:tcMar>
            <w:vAlign w:val="center"/>
          </w:tcPr>
          <w:p>
            <w:pPr>
              <w:jc w:val="center"/>
            </w:pPr>
            <w:r>
              <w:rPr>
                <w:b/>
                <w:bCs/>
                <w:sz w:val="20"/>
                <w:szCs w:val="20"/>
              </w:rPr>
              <w:t xml:space="preserve">Metric</w:t>
            </w:r>
          </w:p>
        </w:tc>
        <w:tc>
          <w:tcPr>
            <w:tcW w:type="dxa" w:w="2200"/>
            <w:shd w:fill="DDDDDD" w:val="clear"/>
            <w:tcMar>
              <w:top w:type="dxa" w:w="80"/>
              <w:left w:type="dxa" w:w="100"/>
              <w:bottom w:type="dxa" w:w="80"/>
              <w:right w:type="dxa" w:w="100"/>
            </w:tcMar>
            <w:vAlign w:val="center"/>
          </w:tcPr>
          <w:p>
            <w:pPr>
              <w:jc w:val="center"/>
            </w:pPr>
            <w:r>
              <w:rPr>
                <w:b/>
                <w:bCs/>
                <w:sz w:val="20"/>
                <w:szCs w:val="20"/>
              </w:rPr>
              <w:t xml:space="preserve">Value</w:t>
            </w:r>
          </w:p>
        </w:tc>
        <w:tc>
          <w:tcPr>
            <w:tcW w:type="dxa" w:w="4400"/>
            <w:shd w:fill="DDDDDD" w:val="clear"/>
            <w:tcMar>
              <w:top w:type="dxa" w:w="80"/>
              <w:left w:type="dxa" w:w="100"/>
              <w:bottom w:type="dxa" w:w="80"/>
              <w:right w:type="dxa" w:w="100"/>
            </w:tcMar>
            <w:vAlign w:val="center"/>
          </w:tcPr>
          <w:p>
            <w:pPr>
              <w:jc w:val="center"/>
            </w:pPr>
            <w:r>
              <w:rPr>
                <w:b/>
                <w:bCs/>
                <w:sz w:val="20"/>
                <w:szCs w:val="20"/>
              </w:rPr>
              <w:t xml:space="preserve">Formula</w:t>
            </w:r>
          </w:p>
        </w:tc>
      </w:tr>
      <w:tr>
        <w:tc>
          <w:tcPr>
            <w:tcW w:type="dxa" w:w="2600"/>
            <w:tcMar>
              <w:top w:type="dxa" w:w="80"/>
              <w:left w:type="dxa" w:w="100"/>
              <w:bottom w:type="dxa" w:w="80"/>
              <w:right w:type="dxa" w:w="100"/>
            </w:tcMar>
            <w:vAlign w:val="center"/>
          </w:tcPr>
          <w:p>
            <w:pPr>
              <w:jc w:val="left"/>
            </w:pPr>
            <w:r>
              <w:rPr>
                <w:b w:val="false"/>
                <w:bCs w:val="false"/>
                <w:sz w:val="20"/>
                <w:szCs w:val="20"/>
              </w:rPr>
              <w:t xml:space="preserve">Accuracy</w:t>
            </w:r>
          </w:p>
        </w:tc>
        <w:tc>
          <w:tcPr>
            <w:tcW w:type="dxa" w:w="2200"/>
            <w:tcMar>
              <w:top w:type="dxa" w:w="80"/>
              <w:left w:type="dxa" w:w="100"/>
              <w:bottom w:type="dxa" w:w="80"/>
              <w:right w:type="dxa" w:w="100"/>
            </w:tcMar>
            <w:vAlign w:val="center"/>
          </w:tcPr>
          <w:p>
            <w:pPr>
              <w:jc w:val="center"/>
            </w:pPr>
            <w:r>
              <w:rPr>
                <w:b w:val="false"/>
                <w:bCs w:val="false"/>
                <w:sz w:val="20"/>
                <w:szCs w:val="20"/>
              </w:rPr>
              <w:t xml:space="preserve">88.9%</w:t>
            </w:r>
          </w:p>
        </w:tc>
        <w:tc>
          <w:tcPr>
            <w:tcW w:type="dxa" w:w="4400"/>
            <w:tcMar>
              <w:top w:type="dxa" w:w="80"/>
              <w:left w:type="dxa" w:w="100"/>
              <w:bottom w:type="dxa" w:w="80"/>
              <w:right w:type="dxa" w:w="100"/>
            </w:tcMar>
            <w:vAlign w:val="center"/>
          </w:tcPr>
          <w:p>
            <w:pPr>
              <w:jc w:val="center"/>
            </w:pPr>
            <w:r>
              <w:rPr>
                <w:b w:val="false"/>
                <w:bCs w:val="false"/>
                <w:sz w:val="20"/>
                <w:szCs w:val="20"/>
              </w:rPr>
              <w:t xml:space="preserve">(TP + TN) / Total</w:t>
            </w:r>
          </w:p>
        </w:tc>
      </w:tr>
      <w:tr>
        <w:tc>
          <w:tcPr>
            <w:tcW w:type="dxa" w:w="2600"/>
            <w:tcMar>
              <w:top w:type="dxa" w:w="80"/>
              <w:left w:type="dxa" w:w="100"/>
              <w:bottom w:type="dxa" w:w="80"/>
              <w:right w:type="dxa" w:w="100"/>
            </w:tcMar>
            <w:vAlign w:val="center"/>
          </w:tcPr>
          <w:p>
            <w:pPr>
              <w:jc w:val="left"/>
            </w:pPr>
            <w:r>
              <w:rPr>
                <w:b w:val="false"/>
                <w:bCs w:val="false"/>
                <w:sz w:val="20"/>
                <w:szCs w:val="20"/>
              </w:rPr>
              <w:t xml:space="preserve">Precision</w:t>
            </w:r>
          </w:p>
        </w:tc>
        <w:tc>
          <w:tcPr>
            <w:tcW w:type="dxa" w:w="2200"/>
            <w:tcMar>
              <w:top w:type="dxa" w:w="80"/>
              <w:left w:type="dxa" w:w="100"/>
              <w:bottom w:type="dxa" w:w="80"/>
              <w:right w:type="dxa" w:w="100"/>
            </w:tcMar>
            <w:vAlign w:val="center"/>
          </w:tcPr>
          <w:p>
            <w:pPr>
              <w:jc w:val="center"/>
            </w:pPr>
            <w:r>
              <w:rPr>
                <w:b w:val="false"/>
                <w:bCs w:val="false"/>
                <w:sz w:val="20"/>
                <w:szCs w:val="20"/>
              </w:rPr>
              <w:t xml:space="preserve">100.0%</w:t>
            </w:r>
          </w:p>
        </w:tc>
        <w:tc>
          <w:tcPr>
            <w:tcW w:type="dxa" w:w="4400"/>
            <w:tcMar>
              <w:top w:type="dxa" w:w="80"/>
              <w:left w:type="dxa" w:w="100"/>
              <w:bottom w:type="dxa" w:w="80"/>
              <w:right w:type="dxa" w:w="100"/>
            </w:tcMar>
            <w:vAlign w:val="center"/>
          </w:tcPr>
          <w:p>
            <w:pPr>
              <w:jc w:val="center"/>
            </w:pPr>
            <w:r>
              <w:rPr>
                <w:b w:val="false"/>
                <w:bCs w:val="false"/>
                <w:sz w:val="20"/>
                <w:szCs w:val="20"/>
              </w:rPr>
              <w:t xml:space="preserve">TP / (TP + FP)</w:t>
            </w:r>
          </w:p>
        </w:tc>
      </w:tr>
      <w:tr>
        <w:tc>
          <w:tcPr>
            <w:tcW w:type="dxa" w:w="2600"/>
            <w:tcMar>
              <w:top w:type="dxa" w:w="80"/>
              <w:left w:type="dxa" w:w="100"/>
              <w:bottom w:type="dxa" w:w="80"/>
              <w:right w:type="dxa" w:w="100"/>
            </w:tcMar>
            <w:vAlign w:val="center"/>
          </w:tcPr>
          <w:p>
            <w:pPr>
              <w:jc w:val="left"/>
            </w:pPr>
            <w:r>
              <w:rPr>
                <w:b w:val="false"/>
                <w:bCs w:val="false"/>
                <w:sz w:val="20"/>
                <w:szCs w:val="20"/>
              </w:rPr>
              <w:t xml:space="preserve">Recall</w:t>
            </w:r>
          </w:p>
        </w:tc>
        <w:tc>
          <w:tcPr>
            <w:tcW w:type="dxa" w:w="2200"/>
            <w:tcMar>
              <w:top w:type="dxa" w:w="80"/>
              <w:left w:type="dxa" w:w="100"/>
              <w:bottom w:type="dxa" w:w="80"/>
              <w:right w:type="dxa" w:w="100"/>
            </w:tcMar>
            <w:vAlign w:val="center"/>
          </w:tcPr>
          <w:p>
            <w:pPr>
              <w:jc w:val="center"/>
            </w:pPr>
            <w:r>
              <w:rPr>
                <w:b w:val="false"/>
                <w:bCs w:val="false"/>
                <w:sz w:val="20"/>
                <w:szCs w:val="20"/>
              </w:rPr>
              <w:t xml:space="preserve">85.7%</w:t>
            </w:r>
          </w:p>
        </w:tc>
        <w:tc>
          <w:tcPr>
            <w:tcW w:type="dxa" w:w="4400"/>
            <w:tcMar>
              <w:top w:type="dxa" w:w="80"/>
              <w:left w:type="dxa" w:w="100"/>
              <w:bottom w:type="dxa" w:w="80"/>
              <w:right w:type="dxa" w:w="100"/>
            </w:tcMar>
            <w:vAlign w:val="center"/>
          </w:tcPr>
          <w:p>
            <w:pPr>
              <w:jc w:val="center"/>
            </w:pPr>
            <w:r>
              <w:rPr>
                <w:b w:val="false"/>
                <w:bCs w:val="false"/>
                <w:sz w:val="20"/>
                <w:szCs w:val="20"/>
              </w:rPr>
              <w:t xml:space="preserve">TP / (TP + FN)</w:t>
            </w:r>
          </w:p>
        </w:tc>
      </w:tr>
      <w:tr>
        <w:tc>
          <w:tcPr>
            <w:tcW w:type="dxa" w:w="2600"/>
            <w:tcMar>
              <w:top w:type="dxa" w:w="80"/>
              <w:left w:type="dxa" w:w="100"/>
              <w:bottom w:type="dxa" w:w="80"/>
              <w:right w:type="dxa" w:w="100"/>
            </w:tcMar>
            <w:vAlign w:val="center"/>
          </w:tcPr>
          <w:p>
            <w:pPr>
              <w:jc w:val="left"/>
            </w:pPr>
            <w:r>
              <w:rPr>
                <w:b w:val="false"/>
                <w:bCs w:val="false"/>
                <w:sz w:val="20"/>
                <w:szCs w:val="20"/>
              </w:rPr>
              <w:t xml:space="preserve">F1-Score</w:t>
            </w:r>
          </w:p>
        </w:tc>
        <w:tc>
          <w:tcPr>
            <w:tcW w:type="dxa" w:w="2200"/>
            <w:tcMar>
              <w:top w:type="dxa" w:w="80"/>
              <w:left w:type="dxa" w:w="100"/>
              <w:bottom w:type="dxa" w:w="80"/>
              <w:right w:type="dxa" w:w="100"/>
            </w:tcMar>
            <w:vAlign w:val="center"/>
          </w:tcPr>
          <w:p>
            <w:pPr>
              <w:jc w:val="center"/>
            </w:pPr>
            <w:r>
              <w:rPr>
                <w:b w:val="false"/>
                <w:bCs w:val="false"/>
                <w:sz w:val="20"/>
                <w:szCs w:val="20"/>
              </w:rPr>
              <w:t xml:space="preserve">92.3%</w:t>
            </w:r>
          </w:p>
        </w:tc>
        <w:tc>
          <w:tcPr>
            <w:tcW w:type="dxa" w:w="4400"/>
            <w:tcMar>
              <w:top w:type="dxa" w:w="80"/>
              <w:left w:type="dxa" w:w="100"/>
              <w:bottom w:type="dxa" w:w="80"/>
              <w:right w:type="dxa" w:w="100"/>
            </w:tcMar>
            <w:vAlign w:val="center"/>
          </w:tcPr>
          <w:p>
            <w:pPr>
              <w:jc w:val="center"/>
            </w:pPr>
            <w:r>
              <w:rPr>
                <w:b w:val="false"/>
                <w:bCs w:val="false"/>
                <w:sz w:val="20"/>
                <w:szCs w:val="20"/>
              </w:rPr>
              <w:t xml:space="preserve">2 × (Precision × Recall) / (Precision + Recall)</w:t>
            </w:r>
          </w:p>
        </w:tc>
      </w:tr>
    </w:tbl>
    <w:p>
      <w:pPr>
        <w:pStyle w:val="Heading2"/>
        <w:spacing w:after="120" w:before="240"/>
      </w:pPr>
      <w:r>
        <w:rPr>
          <w:b/>
          <w:bCs/>
          <w:color w:val="27221F"/>
        </w:rPr>
        <w:t xml:space="preserve">G.4.3 Detection Examples</w:t>
      </w:r>
    </w:p>
    <w:p>
      <w:pPr>
        <w:pBdr>
          <w:left w:val="single" w:color="990011" w:sz="12" w:space="8"/>
        </w:pBdr>
        <w:spacing w:after="200" w:before="80"/>
        <w:ind w:left="240"/>
      </w:pPr>
      <w:r>
        <w:rPr>
          <w:i/>
          <w:iCs/>
          <w:color w:val="990011"/>
          <w:sz w:val="21"/>
          <w:szCs w:val="21"/>
        </w:rPr>
        <w:t xml:space="preserve">[FILL IN — Insert 2–4 annotated screenshots showing: (1) a correctly confirmed daytime detection with bounding box and tier label, (2) a correctly rejected non-human motion event (e.g., TC009), and (3) a low-light missed-detection example (TC008), to visually support the metrics above.]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2722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2026-09-22T06:00:49.427Z</dcterms:created>
  <dcterms:modified xsi:type="dcterms:W3CDTF">2026-09-22T06:00:49.427Z</dcterms:modified>
</cp:coreProperties>
</file>

<file path=docProps/custom.xml><?xml version="1.0" encoding="utf-8"?>
<Properties xmlns="http://schemas.openxmlformats.org/officeDocument/2006/custom-properties" xmlns:vt="http://schemas.openxmlformats.org/officeDocument/2006/docPropsVTypes"/>
</file>