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Aquesta actuació està impulsada i subvencionada pel Departament d'Empresa i Treball, i finançada al 100 % pel fons REACT-UE com a part de la resposta de la Unió Europea a la pandèmia de la COVID-19.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