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Plasma NMR metabolomic profiles and incident colon and stomach/duodenal polyps: a prospective analysis of 274,260 UK Biobank participants</w:t>
      </w:r>
    </w:p>
    <w:p>
      <w:pPr>
        <w:jc w:val="center"/>
      </w:pPr>
      <w:r>
        <w:t>[Author names, affiliations and corresponding author: to be completed]</w:t>
      </w:r>
    </w:p>
    <w:p>
      <w:pPr>
        <w:pStyle w:val="Heading1"/>
      </w:pPr>
      <w:r>
        <w:t>Abstract</w:t>
      </w:r>
    </w:p>
    <w:p>
      <w:r>
        <w:rPr>
          <w:b/>
        </w:rPr>
        <w:t>Background.</w:t>
      </w:r>
      <w:r>
        <w:t xml:space="preserve"> Polyps of the colon and of the stomach and duodenum differ in aetiology, and the circulating metabolic features that precede them are largely unknown.</w:t>
      </w:r>
    </w:p>
    <w:p>
      <w:r>
        <w:rPr>
          <w:b/>
        </w:rPr>
        <w:t>Methods.</w:t>
      </w:r>
      <w:r>
        <w:t xml:space="preserve"> We analysed 251 plasma nuclear magnetic resonance (NMR) metabolites measured at baseline in 274,260 UK Biobank participants. Incident colon polyp (ICD-10 K63.5; 15,677 cases) and polyp of the stomach and duodenum (K31.7; 7,213 cases) were identified from hospital records over a median follow-up of 13.6 years. Cox models adjusted for age, sex, deprivation, body mass index, blood pressure, smoking and alcohol use, with Bonferroni correction across metabolites. Further analyses covered exclusion of the first two years; additional adjustment for adiposity, HbA1c, C-reactive protein and prior hospital diagnoses (proxies for health-care contact and treatment indications); verification against clinical-chemistry assays of the same blood samples; sex and age subgroups; split-sample and bootstrap validation; comparison with 23 other digestive diseases; a metabolite risk score evaluated in an independent test set; and prediction models.</w:t>
      </w:r>
    </w:p>
    <w:p>
      <w:r>
        <w:rPr>
          <w:b/>
        </w:rPr>
        <w:t>Results.</w:t>
      </w:r>
      <w:r>
        <w:t xml:space="preserve"> Of 251 metabolites, 157 were associated with colon polyp and 174 with stomach/duodenal polyp; 127 were associated with both, in the same direction. The associated metabolites formed one profile: triglyceride-enriched lipoproteins, raised glycoprotein acetyls (HR per SD 1.08 and 1.18) and a lower proportion of linoleic acid (HR 0.89 and 0.90), together with low HDL cholesterol for stomach/duodenal polyp (HR 0.85). Clinical-chemistry assays reproduced the associations. After full adjustment, including prior diagnoses, 38% (colon) and 53% (stomach/duodenal) of the main associations remained significant: triglycerides, glycoprotein acetyls, fatty-acid composition (colon polyp) and HDL cholesterol (stomach/duodenal polyp) persisted, whereas the weak inverse associations of LDL cholesterol and apolipoprotein B disappeared. The profile correlated with that of other digestive diseases (r up to 0.97). In the test set, the highest versus lowest quartile of the metabolite score had a hazard ratio of 1.52 (95% CI 1.39–1.66) for colon polyp and 2.02 (1.76–2.31) for stomach/duodenal polyp. Adding metabolites to clinical covariates raised the C-index from 0.630 to 0.636 and from 0.634 to 0.651.</w:t>
      </w:r>
    </w:p>
    <w:p>
      <w:r>
        <w:rPr>
          <w:b/>
        </w:rPr>
        <w:t>Conclusions.</w:t>
      </w:r>
      <w:r>
        <w:t xml:space="preserve"> A triglyceride-enriched, pro-inflammatory metabolic profile with an unfavourable fatty-acid composition, and low HDL cholesterol for stomach/duodenal polyp, is associated with a higher risk of colon and stomach/duodenal polyps. The profile is shared with other digestive diseases and marks a general metabolic–inflammatory susceptibility, with a clear group-level risk gradient; apparent LDL cholesterol associations reflect treatment and health-care contact.</w:t>
      </w:r>
    </w:p>
    <w:p>
      <w:r>
        <w:rPr>
          <w:b/>
        </w:rPr>
        <w:t>Keywords:</w:t>
      </w:r>
      <w:r>
        <w:t xml:space="preserve"> metabolomics; nuclear magnetic resonance; digestive polyps; lipoproteins; glycoprotein acetyls; UK Biobank; cohort study</w:t>
      </w:r>
    </w:p>
    <w:p>
      <w:pPr>
        <w:pStyle w:val="Heading1"/>
      </w:pPr>
      <w:r>
        <w:t>Introduction</w:t>
      </w:r>
    </w:p>
    <w:p>
      <w:r>
        <w:t xml:space="preserve">Polyps of the digestive tract are among the most common findings at endoscopy. Colorectal cancer remains one of the leading causes of cancer incidence and death worldwide [1]. Colonoscopic removal of adenomas reduces the incidence of and mortality from colorectal cancer [2, 3], which is why the detection and removal of polyps underpin screening and surveillance programmes [4]. Polyps of the stomach and duodenum form a more heterogeneous group of lesions with different causes and malignant potential [5, 6]: fundic gland polyps often arise during long-term proton-pump-inhibitor use [7], hyperplastic polyps are linked to </w:t>
      </w:r>
      <w:r>
        <w:rPr>
          <w:i/>
        </w:rPr>
        <w:t>Helicobacter pylori</w:t>
      </w:r>
      <w:r>
        <w:t xml:space="preserve"> gastritis and regress after eradication of the infection in many patients [8], and adenomas can progress to cancer. Identifying the systemic factors that precede polyp formation could clarify how polyps arise and who is at higher risk.</w:t>
      </w:r>
    </w:p>
    <w:p>
      <w:r>
        <w:t>Metabolic health is a leading candidate. Smoking [9] and obesity [10] are established correlates of colorectal adenoma, and hyperinsulinaemia has been proposed as a link between metabolic dysfunction and colorectal neoplasia [11]. Meta-analyses associate the metabolic syndrome with colorectal adenoma (pooled risk ratio 1.43 [12]; odds ratio 1.39 [13]), although its relation to adenoma recurrence is inconsistent [14]. In a meta-analysis of serum lipids, triglycerides (risk ratio 1.06) and LDL cholesterol (1.11) were positively associated with colorectal adenoma, and HDL cholesterol was not associated with colorectal neoplasia [15]; in prospective cohorts, higher triglycerides were associated with colorectal cancer (risk ratio 1.18) [16]. These studies rely on routine lipid measures, which summarise heterogeneous lipoprotein classes in a few totals, and little is known about upper gastrointestinal polyps.</w:t>
      </w:r>
    </w:p>
    <w:p>
      <w:r>
        <w:t>Nuclear magnetic resonance (NMR) metabolomics resolves this heterogeneity. A single assay quantifies 249 circulating measures, including the lipid content and composition of lipoprotein subclasses from very large VLDL to small HDL, fatty acids, amino acids, ketone bodies and glycoprotein acetyls, a marker of chronic inflammation [17–19]. Metabolite profiles predict cardiovascular events [20]; in the UK Biobank these measures have been mapped to hundreds of diseases [17], their profiles predict multiple disease outcomes [21], and they have been related to colorectal cancer risk and prediction [22, 23] and to gastrointestinal cancers [24]. The metabolic profile that precedes polyps, the earlier and more frequent stage, at both ends of the digestive tract has received less attention, and with it the question of which features are shared between sites, which are site-specific, and whether they are particular to polyps or common to digestive disease.</w:t>
      </w:r>
    </w:p>
    <w:p>
      <w:r>
        <w:t>We therefore analysed 251 NMR metabolites measured at baseline in 274,260 UK Biobank participants in relation to incident hospital-diagnosed colon polyp (ICD-10 K63.5) and polyp of the stomach and duodenum (K31.7). We tested whether lipoprotein, fatty-acid and inflammatory metabolites are associated with polyp risk, whether the associations are independent of adiposity, glycaemia and inflammation, how they compare across the two sites and with other digestive diseases, and whether a metabolite score stratifies risk and improves prediction.</w:t>
      </w:r>
    </w:p>
    <w:p>
      <w:pPr>
        <w:pStyle w:val="Heading1"/>
      </w:pPr>
      <w:r>
        <w:t>Methods</w:t>
      </w:r>
    </w:p>
    <w:p>
      <w:pPr>
        <w:pStyle w:val="Heading2"/>
      </w:pPr>
      <w:r>
        <w:t>Study population and outcomes</w:t>
      </w:r>
    </w:p>
    <w:p>
      <w:r>
        <w:t>We used UK Biobank participants [25] with baseline plasma NMR metabolomic profiling (n = 274,260; 251 metabolite measures; Nightingale Health platform [17, 26]). Incident disease was defined from the first hospital inpatient ICD-10 diagnosis date: colon polyp (K63.5) and polyp of the stomach and duodenum (K31.7). Participants with the outcome on or before the baseline date were excluded from the corresponding incident analysis. Follow-up ended at the first event, death or 31 October 2022. The analytic cohorts comprised 272,310 participants with 15,677 incident colon polyps (median follow-up 13.6 years) and 273,634 participants with 7,213 incident stomach/duodenal polyps (median follow-up 13.7 years). As a secondary definition, the original 3-character codes K63 and K31 were also analysed (Fig. S3, Table S1).</w:t>
      </w:r>
    </w:p>
    <w:p>
      <w:pPr>
        <w:pStyle w:val="Heading2"/>
      </w:pPr>
      <w:r>
        <w:t>Metabolites and covariates</w:t>
      </w:r>
    </w:p>
    <w:p>
      <w:r>
        <w:t>Each metabolite was rank-based inverse-normal transformed [27] and then standardised within the complete cases of each model, so hazard ratios (HR) are per 1 SD. Models were adjusted for age, sex, Townsend deprivation index, body mass index, systolic and diastolic blood pressure, smoking status and alcohol drinking status; "prefer not to answer" was set to missing. Metabolite abbreviations and their rule-based classes are listed in Table S1.</w:t>
      </w:r>
    </w:p>
    <w:p>
      <w:pPr>
        <w:pStyle w:val="Heading2"/>
      </w:pPr>
      <w:r>
        <w:t>Metabolome-wide association analysis</w:t>
      </w:r>
    </w:p>
    <w:p>
      <w:r>
        <w:t>Cox proportional hazards models [28] were fitted for each metabolite and outcome separately. Significance was assessed with Bonferroni correction across the 251 metabolites (P &lt; 0.05/251 = 1.99 × 10⁻⁴) in all analyses. Because the metabolites are highly correlated (about 19–38 effectively independent tests by principal-component and Li-Ji [29] estimates; Fig. S2), Bonferroni correction over 251 metabolites is conservative.</w:t>
      </w:r>
    </w:p>
    <w:p>
      <w:pPr>
        <w:pStyle w:val="Heading2"/>
      </w:pPr>
      <w:r>
        <w:t>Additional analyses</w:t>
      </w:r>
    </w:p>
    <w:p>
      <w:r>
        <w:t>Sensitivity analysis excluded events within the first 2 years. Subgroup analyses of all metabolites were run by sex and by age (&lt;60 vs ≥60 years). Internal validation used a 70/30 split-sample replication and 30 bootstrap resamples, both over all 251 metabolites. A baseline companion analysis used adjusted logistic regression for prevalent disease. For participants eligible for both outcomes, groups were classified as colon only, stomach/duodenal only or both, and all 251 metabolites were compared between dual-site and single-site cases by logistic regression.</w:t>
      </w:r>
    </w:p>
    <w:p>
      <w:pPr>
        <w:pStyle w:val="Heading2"/>
      </w:pPr>
      <w:r>
        <w:t>Extended adjustment, specificity, score and dose-response</w:t>
      </w:r>
    </w:p>
    <w:p>
      <w:r>
        <w:t>To examine confounding, the primary models were refitted in the same complete-case sample with additional adjustment for waist circumference and body fat percentage (Model 2a), HbA1c and log-transformed C-reactive protein (Model 2b), both sets (Model 2), prior hospital diagnoses (Model 3) or all of these (Model 4). Prior diagnoses recorded before baseline served as proxies for health-care contact and treatment indications: the log number of distinct three-character ICD-10 codes and indicators of disorders of lipoprotein metabolism (E78), ischaemic heart disease (I20–I25), hypertension (I10–I15), diabetes (E10–E14), reflux disease (K20–K22) and gastritis or ulcer (K25–K29). To verify the lipoprotein findings, NMR measures were correlated with clinical-chemistry assays of the same blood sample (HDL and LDL cholesterol, apolipoproteins A1 and B, triglycerides, total cholesterol); the models were refitted with the clinical measures; crude incidence rates were calculated by sex-specific tertiles of HDL cholesterol; the proxies were added stepwise; and HDL cholesterol, LDL cholesterol and triglycerides were fitted together. To assess specificity, the Model 1 scan of all 251 metabolites was repeated for 23 other digestive diseases with at least 2,000 incident events and for colorectal cancer (ICD-10 C18–C20), and the 251 log hazard ratios of each outcome were correlated with the colon and stomach/duodenal polyp profiles. A metabolite risk score was derived as the metabolite part of a penalised Cox model fitted in the 70% training set and evaluated in the independent 30% test set by hazard ratio per SD, quartiles, a trend test across quartile medians and cumulative incidence. Dose–response was examined with four-knot restricted cubic splines (knots at the 5th, 35th, 65th and 95th percentiles) [30] for the three strongest positive and negative metabolites and for glycoprotein acetyls, HDL cholesterol and total triglycerides, with a likelihood-ratio test against a linear term.</w:t>
      </w:r>
    </w:p>
    <w:p>
      <w:pPr>
        <w:pStyle w:val="Heading2"/>
      </w:pPr>
      <w:r>
        <w:t>Prediction</w:t>
      </w:r>
    </w:p>
    <w:p>
      <w:r>
        <w:t>Models used covariates only, covariates plus metabolites passing a Bonferroni-corrected univariate screen run within the training data, or covariates plus all 251 metabolites. Binary prediction used 5-fold stratified cross-validation (logistic regression, elastic net, LightGBM, XGBoost [31]; AUC). Survival prediction used a 70/30 split with a penalised Cox model (penalty chosen on an inner validation split) and an XGBoost Cox model, evaluated by the C-index [30] and by 5- and 10-year time-dependent AUC [32]. Survival models were fitted in Python with lifelines [33].</w:t>
      </w:r>
    </w:p>
    <w:p>
      <w:pPr>
        <w:pStyle w:val="Heading1"/>
      </w:pPr>
      <w:r>
        <w:t>Results</w:t>
      </w:r>
    </w:p>
    <w:p>
      <w:pPr>
        <w:pStyle w:val="Heading2"/>
      </w:pPr>
      <w:r>
        <w:t>Cohort</w:t>
      </w:r>
    </w:p>
    <w:p>
      <w:r>
        <w:t>Participants who developed colon polyps were older (58.6 vs 56.4 years), more often male (55.5% vs 45.4%) and had higher BMI (28.4 vs 27.4 kg/m²) than those who did not (Table 1). Those who developed stomach/duodenal polyps were older (59.5 vs 56.5 years) and less often male (39.3% vs 46.2%).</w:t>
      </w:r>
    </w:p>
    <w:p>
      <w:pPr>
        <w:pStyle w:val="Heading2"/>
      </w:pPr>
      <w:r>
        <w:t>Metabolome-wide associations</w:t>
      </w:r>
    </w:p>
    <w:p>
      <w:r>
        <w:t>Of 251 metabolites, 157 were associated with incident colon polyp (63 with higher and 94 with lower risk) and 174 with incident stomach/duodenal polyp (68 higher, 106 lower) after Bonferroni correction (Fig. 1, Table S1). Most were lipoprotein-subclass lipid content or composition measures, with both higher and lower risk directions (Fig. 2). For colon polyp, the strongest associations were with the proportion of linoleic acid in total fatty acids (HR 0.89 per SD, 95% CI 0.88–0.91; lower risk), the cholesteryl-ester share of very small VLDL (HR 0.90, 0.88–0.92; lower risk) and the triglyceride share of very small VLDL (HR 1.11, 1.09–1.13; higher risk). For stomach/duodenal polyp, the strongest were cholesteryl esters in very large and large HDL (HR 0.84, 0.81–0.86 and HR 0.83, 0.81–0.85; lower risk) and glycoprotein acetyls (HR 1.18, 1.15–1.21; higher risk) (Fig. 3 shows all 251 metabolites as a circular bar plot for each outcome; Table 2 gives hazard ratios of key metabolites across adjustment models and Table S1 all results).</w:t>
      </w:r>
    </w:p>
    <w:p>
      <w:pPr>
        <w:pStyle w:val="Heading2"/>
      </w:pPr>
      <w:r>
        <w:t>Consistency across outcomes and analyses</w:t>
      </w:r>
    </w:p>
    <w:p>
      <w:r>
        <w:t>Effect estimates for the two outcomes were correlated (r = 0.81); 127 metabolites were significant for both, all in the same direction (Fig. 4). Excluding events in the first 2 years left 141 of the 157 (colon) and 166 of the 174 (stomach/duodenal) main hits significant, all with unchanged direction (Fig. 5C; all 251 metabolites in Fig. S1, Table S1). Among the main hits, the direction of effect was the same in women, men and participants aged 60 or older in 98–100% of cases for both outcomes; in participants under 60 years it was 98% for colon polyp and 91% for stomach/duodenal polyp, the lowest agreement of any stratum (Fig. 5A–B, Table S1). Fifty-one (colon) and 75 (stomach/duodenal) main hits were also significant in all four sex and age strata. In split-sample validation (Fig. S4, Table S1), of the metabolites significant in the discovery half (134 and 149), all had the same direction in the validation half, 95% were nominally significant (P &lt; 0.05) in it, and 41% and 77% also passed Bonferroni correction there; the validation half contained 30% of the sample. In bootstrap resamples (Fig. S4, Table S1), 156 of 157 and 168 of 174 main hits had P &lt; 0.05 in at least 95% of resamples. These checks assess the stability of the associations within the cohort. In baseline logistic models, 75 (colon) and 46 (stomach/duodenal) metabolites were associated with prevalent disease (Fig. S5, Table S1).</w:t>
      </w:r>
    </w:p>
    <w:p>
      <w:pPr>
        <w:pStyle w:val="Heading2"/>
      </w:pPr>
      <w:r>
        <w:t>Dual-site polyps</w:t>
      </w:r>
    </w:p>
    <w:p>
      <w:r>
        <w:t>Among eligible participants, 14,497 developed colon polyps only, 5,975 stomach/duodenal polyps only and 1,110 both (Fig. 6A; order of diagnosis in Fig. S7). Comparing participants with both polyps against those with one, one of 251 metabolites remained significant after Bonferroni correction: the phospholipid share of large HDL (OR 1.14 per SD, 95% CI 1.06–1.22). This comparison rests on 1,110 dual-site cases and is hypothesis-generating (Fig. 6B shows all 251 metabolites; Table S1).</w:t>
      </w:r>
    </w:p>
    <w:p>
      <w:pPr>
        <w:pStyle w:val="Heading2"/>
      </w:pPr>
      <w:r>
        <w:t>Extended adjustment</w:t>
      </w:r>
    </w:p>
    <w:p>
      <w:r>
        <w:t>In the complete-case sample (240,720 participants with 13,822 colon polyps; 241,891 with 6,370 stomach/duodenal polyps), 145 and 172 metabolites were significant under Model 1. Adding waist circumference and body fat percentage (Model 2a) left 117 (81%) and 155 (90%) significant; adding HbA1c and CRP (Model 2b), 122 (84%) and 148 (86%); adding both sets (Model 2), 88 (61%) and 139 (81%); adding prior hospital diagnoses (Model 3), 95 (66%) and 119 (69%); and all adjustments together (Model 4), 55 (38%) and 91 (53%) (Fig. 8, Table 2, Table S1). Under full adjustment the direction of effect was retained for 139 of 145 colon polyp and 172 of 172 stomach/duodenal polyp associations, and the median attenuation of the log hazard ratio was 51% and 45%. In total, 61 and 92 metabolites remained significant. For colon polyp they comprised triglyceride content and share (19 measures), fatty-acid composition (9 measures; proportion of linoleic acid HR 0.93, 0.91–0.95) and glycoprotein acetyls (HR 1.05); for stomach/duodenal polyp, HDL cholesterol and HDL subclass lipids (HDL cholesterol HR 0.90, 0.87–0.93), triglycerides (HR 1.06) and glycoprotein acetyls (HR 1.10). LDL cholesterol, apolipoprotein B and total cholesterol were not significant for either outcome.</w:t>
      </w:r>
    </w:p>
    <w:p>
      <w:pPr>
        <w:pStyle w:val="Heading2"/>
      </w:pPr>
      <w:r>
        <w:t>Verification of the lipoprotein findings</w:t>
      </w:r>
    </w:p>
    <w:p>
      <w:r>
        <w:t>NMR measures correlated closely with clinical-chemistry assays of the same blood sample (Spearman r 0.92 for HDL cholesterol, 0.88 for LDL cholesterol, 0.86 for apolipoprotein A1, 0.91 for apolipoprotein B and 0.94 for triglycerides). The clinical assays reproduced the associations: for stomach/duodenal polyp the hazard ratio per SD was 0.85 (0.82–0.87) for HDL cholesterol, 0.96 for LDL cholesterol, 0.88 for apolipoprotein A1 and 1.12 for triglycerides (NMR: 0.85, 0.95, 0.89 and 1.10); for colon polyp it was 0.97, 0.96, 0.99 and 1.07 (NMR: 0.98, 0.96, 1.01 and 1.06). The incidence of stomach/duodenal polyp fell from the lowest to the highest sex-specific tertile of HDL cholesterol from 2.71 to 1.78 per 1000 person-years in women and from 2.01 to 1.40 in men. Adjustment for prior hospital diagnoses removed the inverse associations of LDL cholesterol (colon polyp 0.96 to 1.00; stomach/duodenal polyp 0.95 to 1.00) and apolipoprotein B (0.96 to 0.99; 0.97 to 1.02), and the number of prior diagnoses alone accounted for most of the change; participants with a prior diagnosis of a lipoprotein metabolism disorder had LDL cholesterol 0.70 SD and HDL cholesterol 0.51 SD lower than the others. The HDL cholesterol association for colon polyp disappeared (0.98 to 1.00), whereas that for stomach/duodenal polyp persisted (0.85 to 0.88) and was present in women (0.86) and men (0.85) (Fig. S9, Table S5). With HDL cholesterol, LDL cholesterol and triglycerides in one model together with the proxies, triglycerides remained associated with both outcomes (HR 1.08 and 1.06), HDL cholesterol with stomach/duodenal polyp (0.90), and LDL cholesterol stayed weakly inverse for colon polyp (0.97).</w:t>
      </w:r>
    </w:p>
    <w:p>
      <w:pPr>
        <w:pStyle w:val="Heading2"/>
      </w:pPr>
      <w:r>
        <w:t>Specificity</w:t>
      </w:r>
    </w:p>
    <w:p>
      <w:r>
        <w:t>The metabolite profile of both polyp types resembled that of many other digestive diseases (Fig. 9, Tables S3–S4). The correlation between the 251 log hazard ratios for colon polyp and those for another outcome was 0.88–0.93 for 12 of 24 outcomes, including diverticular disease, anorectal diseases, gastritis, liver disease, haemorrhoids and irritable bowel syndrome; for stomach/duodenal polyp it was 0.93–0.97 for reflux, hiatus hernia, gallstones, peritoneal disorders, diverticular disease and irritable bowel syndrome. Colorectal cancer showed a similar but weaker profile (r = 0.76 and 0.57), with 4 metabolites significant after correction. Inguinal hernia had an inverse profile (r = −0.88 and −0.69) and umbilical hernia a weak one (0.43 and 0.56). Glycoprotein acetyls had a positive association with every outcome.</w:t>
      </w:r>
    </w:p>
    <w:p>
      <w:pPr>
        <w:pStyle w:val="Heading2"/>
      </w:pPr>
      <w:r>
        <w:t>Metabolite score and dose-response</w:t>
      </w:r>
    </w:p>
    <w:p>
      <w:r>
        <w:t>In the independent test set, the metabolite score was associated with colon polyp (HR per SD 1.19, 95% CI 1.16–1.23; highest vs lowest quartile 1.52, 1.39–1.66; P-trend 2 × 10⁻²²) and with stomach/duodenal polyp (HR per SD 1.34, 1.27–1.40; highest vs lowest quartile 2.02, 1.76–2.31; P-trend 7 × 10⁻²⁵). Fourteen-year cumulative incidence was about 4.1% in the lowest and 8.8% in the highest score quartile for colon polyp, and 1.9% and 3.9% for stomach/duodenal polyp (Fig. 10; score weights in Table S1). Spline curves were mostly monotonic with some curvature at the extremes (nominal P for non-linearity &lt; 0.05 for 7 of 9 and 5 of 8 metabolites; Fig. S8).</w:t>
      </w:r>
    </w:p>
    <w:p>
      <w:pPr>
        <w:pStyle w:val="Heading2"/>
      </w:pPr>
      <w:r>
        <w:t>Prediction</w:t>
      </w:r>
    </w:p>
    <w:p>
      <w:r>
        <w:t>Adding metabolites to the covariates changed discrimination little (Fig. 7, Fig. S6, Table S2). For colon polyp, AUC rose from 0.626–0.627 to 0.630–0.631, the C-index from 0.630 to 0.636, and the 5- and 10-year time-dependent AUC from 0.676 to 0.682 and from 0.648 to 0.656. For stomach/duodenal polyp, AUC rose from 0.627–0.632 to 0.636–0.647, the C-index from 0.634–0.635 to 0.647–0.651, and the 5- and 10-year AUC from 0.656 to 0.681 and from 0.650 to 0.667. Overall discrimination remained low (AUC and C-index up to 0.65 in the main analyses; time-dependent AUC up to 0.68), and the Bonferroni-selected set performed like the full set of 251 metabolites.</w:t>
      </w:r>
    </w:p>
    <w:p>
      <w:pPr>
        <w:pStyle w:val="Heading1"/>
      </w:pPr>
      <w:r>
        <w:t>Discussion</w:t>
      </w:r>
    </w:p>
    <w:p>
      <w:r>
        <w:t>In 274,260 UK Biobank participants followed for a median of 13.6 years, plasma NMR metabolites were broadly associated with incident polyps: 157 of 251 metabolites for colon polyp (15,677 cases) and 174 for stomach/duodenal polyp (7,213 cases) after Bonferroni correction. The two sites shared 127 associations, all in the same direction (r = 0.81 between effect estimates). The associations held after excluding events in the first two years, in both sexes and age strata, in split-sample and bootstrap checks, and with clinical-chemistry assays of the same blood samples. A score built from all metabolites separated risk in an independent test set: the highest quartile had a hazard ratio of 1.5 for colon polyp and 2.0 for stomach/duodenal polyp relative to the lowest, and the 14-year cumulative incidence was 8.8% versus 4.1% for colon polyp and 3.9% versus 1.9% for stomach/duodenal polyp.</w:t>
      </w:r>
    </w:p>
    <w:p>
      <w:r>
        <w:t>The associated metabolites form one profile of triglyceride-enriched, cholesterol-depleted lipoproteins, raised glycoprotein acetyls and an unfavourable fatty-acid composition, with low HDL cholesterol for stomach/duodenal polyp. Within every lipoprotein class, a higher triglyceride share was associated with higher risk (mean hazard ratio per SD 1.05–1.10 for triglyceride content and 1.06–1.15 for triglyceride percentage) and a higher cholesterol share with lower risk (0.92–0.95 for colon polyp, 0.88–0.92 for stomach/duodenal polyp). Total triglycerides had hazard ratios of 1.06 and 1.10, in line with the positive association of triglycerides with colorectal adenoma [15] and colorectal cancer [16]; the subclass-level results show that the triglyceride signal extends across all lipoprotein classes, including the triglyceride-rich lipoproteins and remnants that act as risk factors in cardiovascular disease [34]. The triglyceride association was the most stable finding: it remained after full adjustment (HR 1.04 and 1.06) and in a model with HDL and LDL cholesterol together with prior diagnoses (1.08 and 1.06).</w:t>
      </w:r>
    </w:p>
    <w:p>
      <w:r>
        <w:t>The lipoprotein cholesterol results needed closer examination. In the primary models higher LDL cholesterol (HR 0.96 and 0.95) and apolipoprotein B (0.96 for colon polyp) were associated with slightly lower risk, whereas meta-analyses report higher LDL cholesterol with higher adenoma risk (risk ratio 1.11) [15]. Clinical-chemistry assays reproduced the inverse association, which excludes a measurement artefact, but adjustment for prior hospital diagnoses removed it (LDL cholesterol 1.00 for both outcomes), mostly through the number of prior diagnoses, a marker of comorbidity and health-care contact. Participants with a diagnosed lipoprotein metabolism disorder had LDL cholesterol 0.70 SD lower than the others, as expected under lipid-lowering treatment. The inverse LDL association is therefore best explained by confounding from treatment and health-care contact: people on lipid-lowering drugs, with more comorbidity and more contact with health care, have lower LDL cholesterol and are more likely to have a polyp diagnosed. HDL cholesterol showed a site-specific pattern. For stomach/duodenal polyp the inverse association (HR 0.85; apolipoprotein A1 0.89) persisted after full adjustment (0.90), in both sexes and in raw incidence rates, whereas for colon polyp it was null after adjustment (1.00), as in meta-analyses of colorectal adenoma [15]. HDL subclasses were positively associated with gastrointestinal cancers in the UK Biobank [24], which raises the possibility that lipoprotein effects change with lesion stage.</w:t>
      </w:r>
    </w:p>
    <w:p>
      <w:r>
        <w:t>Glycoprotein acetyls, a marker of chronic inflammation [19, 35], were associated with higher risk (HR 1.08 and 1.18) and remained so after full adjustment (1.05 and 1.10), as they are with colorectal cancer incidence [36]. Fatty-acid composition added a second axis: a higher proportion of linoleic acid (HR 0.89 and 0.90) and of polyunsaturated and omega-6 fatty acids was associated with lower risk, and a higher proportion of monounsaturated fatty acids with higher risk (HR 1.09 and 1.16). This matches the inverse association of circulating polyunsaturated fatty acids, including omega-6 fatty acids and linoleic acid, with colorectal cancer in the UK Biobank (HR per SD 0.90–0.96) [37], and the linoleic acid association for colon polyp persisted after full adjustment (0.93). Dietary linoleic acid intake is positively associated with colorectal cancer, whereas tissue levels show no association [38], and evidence on fatty acids and colorectal cancer remains inconsistent [39]; circulating composition integrates diet, adiposity and lipogenesis. The overall pattern resembles the dyslipidaemia of insulin resistance and the metabolic syndrome, which meta-analyses link to colorectal adenoma [12, 13]. Adjustment for waist circumference, body fat percentage, HbA1c, CRP and prior diagnoses reduced the log hazard ratios by a median of 51% (colon polyp) and 45% (stomach/duodenal polyp), and 38% and 53% of the main associations remained significant with unchanged direction in nearly all cases. Adiposity, glycaemia, inflammation and comorbidity thus account for about half of the profile, and triglycerides, glycoprotein acetyls, fatty-acid composition (colon polyp) and HDL cholesterol (stomach/duodenal polyp) form its robust core.</w:t>
      </w:r>
    </w:p>
    <w:p>
      <w:r>
        <w:t>The robust core maps onto well-described lipid-metabolic pathways. Loci that shape blood lipid levels are often associated with cardiovascular and metabolic traits, including type 2 diabetes, waist–hip ratio and body mass index [40], and a triglyceride-enriched, cholesterol-depleted lipoprotein profile accompanies adiposity and insulin resistance, which are linked to colorectal neoplasia through hyperinsulinaemia [11]. The proportions of polyunsaturated and monounsaturated fatty acids reflect desaturase activity and lipogenesis as well as diet; variation in the FADS1/FADS2 desaturase gene cluster is associated with fatty-acid composition [41], so circulating composition has an endogenous component in addition to dietary intake. Glycoprotein acetyls arise from the glycosylation of acute-phase proteins and link the profile to systemic inflammation [19, 36]. Mendelian randomisation found no protective effect of genetically raised HDL cholesterol on myocardial infarction [42], which supports reading HDL cholesterol as a marker of metabolic state; the restriction of our HDL association to stomach/duodenal polyp and its attenuation after adjustment fit this reading.</w:t>
      </w:r>
    </w:p>
    <w:p>
      <w:r>
        <w:t xml:space="preserve">Many other digestive diseases share the profile. The effect profiles of diverticular disease, gastritis, reflux, gallstones, liver disease and further outcomes correlated with the polyp profiles at r up to 0.97, and glycoprotein acetyls were positively associated with every one of them. Inguinal hernia showed an inverse profile, which marks the limit of the pattern. This agrees with the ability of NMR metabolomic profiles to predict many diseases at once [17, 21] and of glycoprotein acetyls to predict a wide range of incident diseases [35]. The profile also resembles the one reported for colorectal cancer in the UK Biobank, where fatty acids, inflammation, ketone bodies and lipoprotein lipids were associated with risk [22], and the effect profile of colorectal cancer in our data correlated with that of colon polyp at r = 0.76. The profile therefore describes a general metabolic and inflammatory susceptibility to digestive disease, consistent with shared mechanisms such as adiposity, insulin resistance and systemic inflammation, and with shared detection through health-care contact. Within this structure the two polyp types differ in degree: HDL-related measures and glycoprotein acetyls were strongest for stomach/duodenal polyp, and fatty-acid composition and triglyceride proportions in very small VLDL, IDL and LDL for colon polyp. K31.7 pools fundic gland polyps, hyperplastic polyps and adenomas, whose aetiologies differ (acid suppression, </w:t>
      </w:r>
      <w:r>
        <w:rPr>
          <w:i/>
        </w:rPr>
        <w:t>H. pylori</w:t>
      </w:r>
      <w:r>
        <w:t>, metabolic factors) [5, 6]. The 1,110 participants with both polyp types differed from single-site cases in one metabolite after correction, the phospholipid share of large HDL (OR 1.14), a finding that awaits replication.</w:t>
      </w:r>
    </w:p>
    <w:p>
      <w:r>
        <w:t>Effect estimates for prevalent and incident disease were highly correlated (r = 0.88 for colon and 0.96 for stomach/duodenal polyp) and persisted after excluding the first two years, which indicates a metabolic state that precedes diagnosis by years. Most dose–response curves were monotonic with curvature at the extremes, for example higher risk only at low HDL cholesterol. The observational design identifies the profile as a marker of risk; Mendelian randomisation or repeated measurements are needed to test whether it contributes causally.</w:t>
      </w:r>
    </w:p>
    <w:p>
      <w:r>
        <w:t>The metabolites stratify risk in groups and add little to individual prediction. Adding them to demographic and clinical covariates raised the AUC by about 0.005 for colon polyp and 0.01–0.03 for stomach/duodenal polyp, with a C-index of at most 0.65 and a time-dependent AUC of at most 0.68, and a feature set selected by Bonferroni within the training data performed like all 251 metabolites.</w:t>
      </w:r>
    </w:p>
    <w:p>
      <w:r>
        <w:t xml:space="preserve">Strengths of the study are the cohort size, the median follow-up of 13.6 years, a single standardised NMR platform, analyses of all 251 metabolites without pre-selection, independent confirmation of the lipoprotein results with clinical-chemistry assays and consistent results across sensitivity, subgroup, split-sample and bootstrap analyses. The study has one cohort without external replication. Outcomes are hospital diagnoses, so polyps detected at outpatient screening are missed and diagnosis depends on symptoms and endoscopy use. Prior hospital diagnoses approximate treatment indications and health-care contact only in part, and medication and screening records were not available; confounding by diet, physical activity, family history, </w:t>
      </w:r>
      <w:r>
        <w:rPr>
          <w:i/>
        </w:rPr>
        <w:t>H. pylori</w:t>
      </w:r>
      <w:r>
        <w:t xml:space="preserve"> and use of proton-pump inhibitors, statins and aspirin therefore remains possible. K63.5 and K31.7 pool histological types. UK Biobank participants are healthier and less deprived than the general population [43]. Metabolites were measured once, and fasting time was not modelled. The 251 metabolites are collinear (about 19–38 independent tests), so the number of significant metabolites exceeds the number of independent signals. Differences between the two sites were not tested formally.</w:t>
      </w:r>
    </w:p>
    <w:p>
      <w:r>
        <w:t>In conclusion, a triglyceride-enriched, pro-inflammatory metabolic profile with an unfavourable fatty-acid composition, and low HDL cholesterol for stomach/duodenal polyp, is associated with a higher risk of colon and stomach/duodenal polyps in the UK Biobank. Adiposity, glycaemia, inflammation and comorbidity explain about half of the profile, and the remainder is shared with many other digestive diseases, which makes it a general metabolic–inflammatory susceptibility profile. The inverse LDL cholesterol association reflects treatment and health-care contact. The profile gives a clear group-level risk gradient and little individual-level discrimination, and genetic or longitudinal designs are the next step to establish its causal role.</w:t>
      </w:r>
    </w:p>
    <w:p>
      <w:pPr>
        <w:pStyle w:val="Heading1"/>
      </w:pPr>
      <w:r>
        <w:t>Declarations</w:t>
      </w:r>
    </w:p>
    <w:p>
      <w:r>
        <w:rPr>
          <w:b/>
        </w:rPr>
        <w:t xml:space="preserve">Ethics approval and consent to participate. </w:t>
      </w:r>
      <w:r>
        <w:t xml:space="preserve">UK Biobank received ethical approval from the North West Multi-centre Research Ethics Committee, and all participants gave written informed consent. This research was conducted under UK Biobank application number </w:t>
      </w:r>
      <w:r>
        <w:rPr>
          <w:highlight w:val="yellow"/>
        </w:rPr>
        <w:t>[to be completed]</w:t>
      </w:r>
      <w:r>
        <w:t>.</w:t>
      </w:r>
    </w:p>
    <w:p>
      <w:r>
        <w:rPr>
          <w:b/>
        </w:rPr>
        <w:t xml:space="preserve">Data availability. </w:t>
      </w:r>
      <w:r>
        <w:t>UK Biobank data are available to approved researchers through the UK Biobank access procedure (www.ukbiobank.ac.uk). Aggregate results are provided in the Supplementary Tables.</w:t>
      </w:r>
    </w:p>
    <w:p>
      <w:r>
        <w:rPr>
          <w:b/>
        </w:rPr>
        <w:t xml:space="preserve">Code availability. </w:t>
      </w:r>
      <w:r>
        <w:t>Analysis code is available at https://github.com/935133632/polyp-metabolites.</w:t>
      </w:r>
    </w:p>
    <w:p>
      <w:r>
        <w:rPr>
          <w:b/>
        </w:rPr>
        <w:t xml:space="preserve">Funding. </w:t>
      </w:r>
      <w:r>
        <w:rPr>
          <w:highlight w:val="yellow"/>
        </w:rPr>
        <w:t>[to be completed]</w:t>
      </w:r>
    </w:p>
    <w:p>
      <w:r>
        <w:rPr>
          <w:b/>
        </w:rPr>
        <w:t xml:space="preserve">Competing interests. </w:t>
      </w:r>
      <w:r>
        <w:rPr>
          <w:highlight w:val="yellow"/>
        </w:rPr>
        <w:t>[to be completed]</w:t>
      </w:r>
    </w:p>
    <w:p>
      <w:r>
        <w:rPr>
          <w:b/>
        </w:rPr>
        <w:t xml:space="preserve">Author contributions. </w:t>
      </w:r>
      <w:r>
        <w:rPr>
          <w:highlight w:val="yellow"/>
        </w:rPr>
        <w:t>[to be completed]</w:t>
      </w:r>
    </w:p>
    <w:p>
      <w:r>
        <w:rPr>
          <w:b/>
        </w:rPr>
        <w:t xml:space="preserve">Acknowledgements. </w:t>
      </w:r>
      <w:r>
        <w:t>We thank the UK Biobank participants and the UK Biobank team.</w:t>
      </w:r>
    </w:p>
    <w:p>
      <w:pPr>
        <w:pStyle w:val="Heading1"/>
      </w:pPr>
      <w:r>
        <w:t>References</w:t>
      </w:r>
    </w:p>
    <w:p>
      <w:pPr>
        <w:spacing w:line="276" w:lineRule="auto"/>
        <w:ind w:left="454" w:hanging="454"/>
      </w:pPr>
      <w:r>
        <w:rPr>
          <w:sz w:val="20"/>
        </w:rPr>
        <w:t>1. Bray F, Laversanne M, Sung H, Ferlay J, Siegel RL, Soerjomataram I, et al. Global cancer statistics 2022: GLOBOCAN estimates of incidence and mortality worldwide for 36 cancers in 185 countries. CA: A Cancer Journal for Clinicians. 2024;74(3):229–263. doi:10.3322/caac.21834</w:t>
      </w:r>
    </w:p>
    <w:p>
      <w:pPr>
        <w:spacing w:line="276" w:lineRule="auto"/>
        <w:ind w:left="454" w:hanging="454"/>
      </w:pPr>
      <w:r>
        <w:rPr>
          <w:sz w:val="20"/>
        </w:rPr>
        <w:t>2. Winawer SJ, Zauber AG, Ho MN, O'Brien MJ, Gottlieb LS, Sternberg SS, et al. Prevention of Colorectal Cancer by Colonoscopic Polypectomy. New England Journal of Medicine. 1993;329(27):1977–1981. doi:10.1056/nejm199312303292701</w:t>
      </w:r>
    </w:p>
    <w:p>
      <w:pPr>
        <w:spacing w:line="276" w:lineRule="auto"/>
        <w:ind w:left="454" w:hanging="454"/>
      </w:pPr>
      <w:r>
        <w:rPr>
          <w:sz w:val="20"/>
        </w:rPr>
        <w:t>3. Zauber AG, Winawer SJ, O'Brien MJ, Lansdorp-Vogelaar I, van Ballegooijen M, Hankey BF, et al. Colonoscopic Polypectomy and Long-Term Prevention of Colorectal-Cancer Deaths. New England Journal of Medicine. 2012;366(8):687–696. doi:10.1056/nejmoa1100370</w:t>
      </w:r>
    </w:p>
    <w:p>
      <w:pPr>
        <w:spacing w:line="276" w:lineRule="auto"/>
        <w:ind w:left="454" w:hanging="454"/>
      </w:pPr>
      <w:r>
        <w:rPr>
          <w:sz w:val="20"/>
        </w:rPr>
        <w:t>4. Rex DK, Boland CR, Dominitz JA, Giardiello FM, Johnson DA, Kaltenbach T, et al. Colorectal Cancer Screening: Recommendations for Physicians and Patients From the U.S. Multi-Society Task Force on Colorectal Cancer. Gastroenterology. 2017;153(1):307–323. doi:10.1053/j.gastro.2017.05.013</w:t>
      </w:r>
    </w:p>
    <w:p>
      <w:pPr>
        <w:spacing w:line="276" w:lineRule="auto"/>
        <w:ind w:left="454" w:hanging="454"/>
      </w:pPr>
      <w:r>
        <w:rPr>
          <w:sz w:val="20"/>
        </w:rPr>
        <w:t>5. Carmack SW, Genta RM, Graham DY, Lauwers GY. Management of gastric polyps: a pathology-based guide for gastroenterologists. Nature Reviews Gastroenterology &amp; Hepatology. 2009;6(6):331–341. doi:10.1038/nrgastro.2009.70</w:t>
      </w:r>
    </w:p>
    <w:p>
      <w:pPr>
        <w:spacing w:line="276" w:lineRule="auto"/>
        <w:ind w:left="454" w:hanging="454"/>
      </w:pPr>
      <w:r>
        <w:rPr>
          <w:sz w:val="20"/>
        </w:rPr>
        <w:t>6. Shaib YH, Rugge M, Graham DY, Genta RM. Management of Gastric Polyps: An Endoscopy-Based Approach. Clinical Gastroenterology and Hepatology. 2013;11(11):1374–1384. doi:10.1016/j.cgh.2013.03.019</w:t>
      </w:r>
    </w:p>
    <w:p>
      <w:pPr>
        <w:spacing w:line="276" w:lineRule="auto"/>
        <w:ind w:left="454" w:hanging="454"/>
      </w:pPr>
      <w:r>
        <w:rPr>
          <w:sz w:val="20"/>
        </w:rPr>
        <w:t>7. Jalving M, Koornstra JJ, Wesseling J, Boezen HM, De Jong S, Kleibeuker JH. Increased risk of fundic gland polyps during long‐term proton pump inhibitor therapy. Alimentary Pharmacology &amp; Therapeutics. 2006;24(9):1341–1348. doi:10.1111/j.1365-2036.2006.03127.x</w:t>
      </w:r>
    </w:p>
    <w:p>
      <w:pPr>
        <w:spacing w:line="276" w:lineRule="auto"/>
        <w:ind w:left="454" w:hanging="454"/>
      </w:pPr>
      <w:r>
        <w:rPr>
          <w:sz w:val="20"/>
        </w:rPr>
        <w:t>8. Ouyang Y, Zhang W, Huang Y, Wang Y, Shao Q, Wu X, et al. Effect of Helicobacter pylori eradication on hyperplastic gastric polyps: A systematic review and meta‐analysis. Helicobacter. 2021;26(5):e12838. doi:10.1111/hel.12838</w:t>
      </w:r>
    </w:p>
    <w:p>
      <w:pPr>
        <w:spacing w:line="276" w:lineRule="auto"/>
        <w:ind w:left="454" w:hanging="454"/>
      </w:pPr>
      <w:r>
        <w:rPr>
          <w:sz w:val="20"/>
        </w:rPr>
        <w:t>9. Botteri E, Iodice S, Raimondi S, Maisonneuve P, Lowenfels AB. Cigarette Smoking and Adenomatous Polyps: A Meta-analysis. Gastroenterology. 2008;134(2):388–395.e3. doi:10.1053/j.gastro.2007.11.007</w:t>
      </w:r>
    </w:p>
    <w:p>
      <w:pPr>
        <w:spacing w:line="276" w:lineRule="auto"/>
        <w:ind w:left="454" w:hanging="454"/>
      </w:pPr>
      <w:r>
        <w:rPr>
          <w:sz w:val="20"/>
        </w:rPr>
        <w:t>10. Ben Q, An W, Jiang Y, Zhan X, Du Y, Cai QC, et al. Body Mass Index Increases Risk for Colorectal Adenomas Based on Meta-analysis. Gastroenterology. 2012;142(4):762–772. doi:10.1053/j.gastro.2011.12.050</w:t>
      </w:r>
    </w:p>
    <w:p>
      <w:pPr>
        <w:spacing w:line="276" w:lineRule="auto"/>
        <w:ind w:left="454" w:hanging="454"/>
      </w:pPr>
      <w:r>
        <w:rPr>
          <w:sz w:val="20"/>
        </w:rPr>
        <w:t>11. Giovannucci E. Metabolic syndrome, hyperinsulinemia, and colon cancer: a review. The American Journal of Clinical Nutrition. 2007;86(3):836S–842S. doi:10.1093/ajcn/86.3.836s</w:t>
      </w:r>
    </w:p>
    <w:p>
      <w:pPr>
        <w:spacing w:line="276" w:lineRule="auto"/>
        <w:ind w:left="454" w:hanging="454"/>
      </w:pPr>
      <w:r>
        <w:rPr>
          <w:sz w:val="20"/>
        </w:rPr>
        <w:t>12. El Herrag SE, Traoré Y, Khaled MB. Metabolic syndrome and risk of colorectal adenoma and colorectal cancer: a meta-analysis. The North African Journal of Food and Nutrition Research. 2017;1(2):30–45. doi:10.51745/najfnr.1.2.30-45</w:t>
      </w:r>
    </w:p>
    <w:p>
      <w:pPr>
        <w:spacing w:line="276" w:lineRule="auto"/>
        <w:ind w:left="454" w:hanging="454"/>
      </w:pPr>
      <w:r>
        <w:rPr>
          <w:sz w:val="20"/>
        </w:rPr>
        <w:t>13. Wu H, Zhang J, Zhou B. Metabolic syndrome and colorectal adenoma risk: A systematic review and meta‑analysis. Clinics and Research in Hepatology and Gastroenterology. 2021;45(5):101749. doi:10.1016/j.clinre.2021.101749</w:t>
      </w:r>
    </w:p>
    <w:p>
      <w:pPr>
        <w:spacing w:line="276" w:lineRule="auto"/>
        <w:ind w:left="454" w:hanging="454"/>
      </w:pPr>
      <w:r>
        <w:rPr>
          <w:sz w:val="20"/>
        </w:rPr>
        <w:t>14. Lu L, Koo S, McPherson S, Hull MA, Rees CJ, Sharp L. Systematic review and meta‐analysis: Associations between metabolic syndrome and colorectal neoplasia outcomes. Colorectal Disease. 2022;24(6):681–694. doi:10.1111/codi.16092</w:t>
      </w:r>
    </w:p>
    <w:p>
      <w:pPr>
        <w:spacing w:line="276" w:lineRule="auto"/>
        <w:ind w:left="454" w:hanging="454"/>
      </w:pPr>
      <w:r>
        <w:rPr>
          <w:sz w:val="20"/>
        </w:rPr>
        <w:t>15. Tian Y, Wang K, Li J, Wang J, Wang Z, Fan Y, et al. The association between serum lipids and colorectal neoplasm: a systemic review and meta-analysis. Public Health Nutrition. 2015;18(18):3355–3370. doi:10.1017/s1368980015000646</w:t>
      </w:r>
    </w:p>
    <w:p>
      <w:pPr>
        <w:spacing w:line="276" w:lineRule="auto"/>
        <w:ind w:left="454" w:hanging="454"/>
      </w:pPr>
      <w:r>
        <w:rPr>
          <w:sz w:val="20"/>
        </w:rPr>
        <w:t>16. Yao X, Tian Z. Dyslipidemia and colorectal cancer risk: a meta-analysis of prospective studies. Cancer Causes &amp; Control. 2014;26(2):257–268. doi:10.1007/s10552-014-0507-y</w:t>
      </w:r>
    </w:p>
    <w:p>
      <w:pPr>
        <w:spacing w:line="276" w:lineRule="auto"/>
        <w:ind w:left="454" w:hanging="454"/>
      </w:pPr>
      <w:r>
        <w:rPr>
          <w:sz w:val="20"/>
        </w:rPr>
        <w:t>17. Julkunen H, Cichońska A, Tiainen M, Koskela H, Nybo K, Mäkelä V, et al. Atlas of plasma NMR biomarkers for health and disease in 118,461 individuals from the UK Biobank. Nature Communications. 2023;14(1):604. doi:10.1038/s41467-023-36231-7</w:t>
      </w:r>
    </w:p>
    <w:p>
      <w:pPr>
        <w:spacing w:line="276" w:lineRule="auto"/>
        <w:ind w:left="454" w:hanging="454"/>
      </w:pPr>
      <w:r>
        <w:rPr>
          <w:sz w:val="20"/>
        </w:rPr>
        <w:t>18. Soininen P, Kangas AJ, Würtz P, Suna T, Ala-Korpela M. Quantitative Serum Nuclear Magnetic Resonance Metabolomics in Cardiovascular Epidemiology and Genetics. Circulation: Cardiovascular Genetics. 2015;8(1):192–206. doi:10.1161/circgenetics.114.000216</w:t>
      </w:r>
    </w:p>
    <w:p>
      <w:pPr>
        <w:spacing w:line="276" w:lineRule="auto"/>
        <w:ind w:left="454" w:hanging="454"/>
      </w:pPr>
      <w:r>
        <w:rPr>
          <w:sz w:val="20"/>
        </w:rPr>
        <w:t>19. Connelly MA, Otvos JD, Shalaurova I, Playford MP, Mehta NN. GlycA, a novel biomarker of systemic inflammation and cardiovascular disease risk. Journal of Translational Medicine. 2017;15(1):219. doi:10.1186/s12967-017-1321-6</w:t>
      </w:r>
    </w:p>
    <w:p>
      <w:pPr>
        <w:spacing w:line="276" w:lineRule="auto"/>
        <w:ind w:left="454" w:hanging="454"/>
      </w:pPr>
      <w:r>
        <w:rPr>
          <w:sz w:val="20"/>
        </w:rPr>
        <w:t>20. Würtz P, Havulinna AS, Soininen P, Tynkkynen T, Prieto-Merino D, Tillin T, et al. Metabolite Profiling and Cardiovascular Event Risk. Circulation. 2015;131(9):774–785. doi:10.1161/circulationaha.114.013116</w:t>
      </w:r>
    </w:p>
    <w:p>
      <w:pPr>
        <w:spacing w:line="276" w:lineRule="auto"/>
        <w:ind w:left="454" w:hanging="454"/>
      </w:pPr>
      <w:r>
        <w:rPr>
          <w:sz w:val="20"/>
        </w:rPr>
        <w:t>21. Buergel T, Steinfeldt J, Ruyoga G, Pietzner M, Bizzarri D, Vojinovic D, et al. Metabolomic profiles predict individual multidisease outcomes. Nature Medicine. 2022;28(11):2309–2320. doi:10.1038/s41591-022-01980-3</w:t>
      </w:r>
    </w:p>
    <w:p>
      <w:pPr>
        <w:spacing w:line="276" w:lineRule="auto"/>
        <w:ind w:left="454" w:hanging="454"/>
      </w:pPr>
      <w:r>
        <w:rPr>
          <w:sz w:val="20"/>
        </w:rPr>
        <w:t>22. Yuan F, Jia G, Wen W, Xu S, Gunchick V, Deng K, et al. Blood metabolic biomarkers and colorectal cancer risk: results from large prospective cohort and Mendelian randomisation analyses. British Journal of Cancer. 2025;133(1):94–103. doi:10.1038/s41416-025-02997-4</w:t>
      </w:r>
    </w:p>
    <w:p>
      <w:pPr>
        <w:spacing w:line="276" w:lineRule="auto"/>
        <w:ind w:left="454" w:hanging="454"/>
      </w:pPr>
      <w:r>
        <w:rPr>
          <w:sz w:val="20"/>
        </w:rPr>
        <w:t>23. Seum T, Cardoso R, Stevenson-Hoare J, Holleczek B, Schöttker B, Hoffmeister M, et al. Exploring metabolomics for colorectal cancer risk prediction: evidence from the UK Biobank and ESTHER cohorts. BMC Medicine. 2025;23(1):283. doi:10.1186/s12916-025-04107-w</w:t>
      </w:r>
    </w:p>
    <w:p>
      <w:pPr>
        <w:spacing w:line="276" w:lineRule="auto"/>
        <w:ind w:left="454" w:hanging="454"/>
      </w:pPr>
      <w:r>
        <w:rPr>
          <w:sz w:val="20"/>
        </w:rPr>
        <w:t>24. Yang C, Liu D, Wang Y, Cao F. Lipoprotein subclasses and gastrointestinal cancers: novel perspectives and potential associations. Frontiers in Nutrition. 2025;12:1501263. doi:10.3389/fnut.2025.1501263</w:t>
      </w:r>
    </w:p>
    <w:p>
      <w:pPr>
        <w:spacing w:line="276" w:lineRule="auto"/>
        <w:ind w:left="454" w:hanging="454"/>
      </w:pPr>
      <w:r>
        <w:rPr>
          <w:sz w:val="20"/>
        </w:rPr>
        <w:t>25. Sudlow C, Gallacher J, Allen N, Beral V, Burton P, Danesh J, et al. UK Biobank: An Open Access Resource for Identifying the Causes of a Wide Range of Complex Diseases of Middle and Old Age. PLOS Medicine. 2015;12(3):e1001779. doi:10.1371/journal.pmed.1001779</w:t>
      </w:r>
    </w:p>
    <w:p>
      <w:pPr>
        <w:spacing w:line="276" w:lineRule="auto"/>
        <w:ind w:left="454" w:hanging="454"/>
      </w:pPr>
      <w:r>
        <w:rPr>
          <w:sz w:val="20"/>
        </w:rPr>
        <w:t>26. Ritchie SC, Surendran P, Karthikeyan S, Lambert SA, Bolton T, Pennells L, et al. Quality control and removal of technical variation of NMR metabolic biomarker data in ~120,000 UK Biobank participants. Scientific Data. 2023;10(1):64. doi:10.1038/s41597-023-01949-y</w:t>
      </w:r>
    </w:p>
    <w:p>
      <w:pPr>
        <w:spacing w:line="276" w:lineRule="auto"/>
        <w:ind w:left="454" w:hanging="454"/>
      </w:pPr>
      <w:r>
        <w:rPr>
          <w:sz w:val="20"/>
        </w:rPr>
        <w:t>27. Beasley TM, Erickson S, Allison DB. Rank-Based Inverse Normal Transformations are Increasingly Used, But are They Merited?. Behavior Genetics. 2009;39(5):580–595. doi:10.1007/s10519-009-9281-0</w:t>
      </w:r>
    </w:p>
    <w:p>
      <w:pPr>
        <w:spacing w:line="276" w:lineRule="auto"/>
        <w:ind w:left="454" w:hanging="454"/>
      </w:pPr>
      <w:r>
        <w:rPr>
          <w:sz w:val="20"/>
        </w:rPr>
        <w:t>28. Cox DR. Regression Models and Life-Tables. Journal of the Royal Statistical Society Series B: Statistical Methodology. 1972;34(2):187–202. doi:10.1111/j.2517-6161.1972.tb00899.x</w:t>
      </w:r>
    </w:p>
    <w:p>
      <w:pPr>
        <w:spacing w:line="276" w:lineRule="auto"/>
        <w:ind w:left="454" w:hanging="454"/>
      </w:pPr>
      <w:r>
        <w:rPr>
          <w:sz w:val="20"/>
        </w:rPr>
        <w:t>29. Li J, Ji L. Adjusting multiple testing in multilocus analyses using the eigenvalues of a correlation matrix. Heredity. 2005;95(3):221–227. doi:10.1038/sj.hdy.6800717</w:t>
      </w:r>
    </w:p>
    <w:p>
      <w:pPr>
        <w:spacing w:line="276" w:lineRule="auto"/>
        <w:ind w:left="454" w:hanging="454"/>
      </w:pPr>
      <w:r>
        <w:rPr>
          <w:sz w:val="20"/>
        </w:rPr>
        <w:t>30. Harrell FE. Regression Modeling Strategies. 2nd ed. Cham: Springer; 2015. doi:10.1007/978-3-319-19425-7</w:t>
      </w:r>
    </w:p>
    <w:p>
      <w:pPr>
        <w:spacing w:line="276" w:lineRule="auto"/>
        <w:ind w:left="454" w:hanging="454"/>
      </w:pPr>
      <w:r>
        <w:rPr>
          <w:sz w:val="20"/>
        </w:rPr>
        <w:t>31. Chen T, Guestrin C. XGBoost: a scalable tree boosting system. In: Proceedings of the 22nd ACM SIGKDD International Conference on Knowledge Discovery and Data Mining. 2016. p. 785–794. doi:10.1145/2939672.2939785</w:t>
      </w:r>
    </w:p>
    <w:p>
      <w:pPr>
        <w:spacing w:line="276" w:lineRule="auto"/>
        <w:ind w:left="454" w:hanging="454"/>
      </w:pPr>
      <w:r>
        <w:rPr>
          <w:sz w:val="20"/>
        </w:rPr>
        <w:t>32. Heagerty PJ, Lumley T, Pepe MS. Time‐Dependent ROC Curves for Censored Survival Data and a Diagnostic Marker. Biometrics. 2000;56(2):337–344. doi:10.1111/j.0006-341x.2000.00337.x</w:t>
      </w:r>
    </w:p>
    <w:p>
      <w:pPr>
        <w:spacing w:line="276" w:lineRule="auto"/>
        <w:ind w:left="454" w:hanging="454"/>
      </w:pPr>
      <w:r>
        <w:rPr>
          <w:sz w:val="20"/>
        </w:rPr>
        <w:t>33. Davidson-Pilon C. lifelines: survival analysis in Python. Journal of Open Source Software. 2019;4(40):1317. doi:10.21105/joss.01317</w:t>
      </w:r>
    </w:p>
    <w:p>
      <w:pPr>
        <w:spacing w:line="276" w:lineRule="auto"/>
        <w:ind w:left="454" w:hanging="454"/>
      </w:pPr>
      <w:r>
        <w:rPr>
          <w:sz w:val="20"/>
        </w:rPr>
        <w:t>34. Nordestgaard BG. Triglyceride-Rich Lipoproteins and Atherosclerotic Cardiovascular Disease. Circulation Research. 2016;118(4):547–563. doi:10.1161/circresaha.115.306249</w:t>
      </w:r>
    </w:p>
    <w:p>
      <w:pPr>
        <w:spacing w:line="276" w:lineRule="auto"/>
        <w:ind w:left="454" w:hanging="454"/>
      </w:pPr>
      <w:r>
        <w:rPr>
          <w:sz w:val="20"/>
        </w:rPr>
        <w:t>35. Kettunen J, Ritchie SC, Anufrieva O, Lyytikäinen LP, Hernesniemi J, Karhunen PJ, et al. Biomarker Glycoprotein Acetyls Is Associated With the Risk of a Wide Spectrum of Incident Diseases and Stratifies Mortality Risk in Angiography Patients. Circulation: Genomic and Precision Medicine. 2018;11(11):e002234. doi:10.1161/circgen.118.002234</w:t>
      </w:r>
    </w:p>
    <w:p>
      <w:pPr>
        <w:spacing w:line="276" w:lineRule="auto"/>
        <w:ind w:left="454" w:hanging="454"/>
      </w:pPr>
      <w:r>
        <w:rPr>
          <w:sz w:val="20"/>
        </w:rPr>
        <w:t>36. Chandler PD, Akinkuolie AO, Tobias DK, Lawler PR, Li C, Moorthy MV, et al. Association of N-Linked Glycoprotein Acetyls and Colorectal Cancer Incidence and Mortality. PLOS ONE. 2016;11(11):e0165615. doi:10.1371/journal.pone.0165615</w:t>
      </w:r>
    </w:p>
    <w:p>
      <w:pPr>
        <w:spacing w:line="276" w:lineRule="auto"/>
        <w:ind w:left="454" w:hanging="454"/>
      </w:pPr>
      <w:r>
        <w:rPr>
          <w:sz w:val="20"/>
        </w:rPr>
        <w:t>37. Li J, Liu X, Fu C, Huang J, He L, Shen Y, et al. Plasma fatty acids, genetic susceptibility, and colorectal cancer risk: results from a large prospective cohort study. The American Journal of Clinical Nutrition. 2025;122(6):1569–1578. doi:10.1016/j.ajcnut.2025.09.039</w:t>
      </w:r>
    </w:p>
    <w:p>
      <w:pPr>
        <w:spacing w:line="276" w:lineRule="auto"/>
        <w:ind w:left="454" w:hanging="454"/>
      </w:pPr>
      <w:r>
        <w:rPr>
          <w:sz w:val="20"/>
        </w:rPr>
        <w:t>38. Atashi N, Eshaghian N, Anjom-Shoae J, Askari G, Asadi M, Sadeghi O. Dietary intake and tissue biomarkers of omega-6 fatty acids and risk of colorectal cancer in adults: a systematic review and dose-response meta-analysis of prospective cohort studies. Nutrition &amp; Diabetes. 2025;15(1):17. doi:10.1038/s41387-025-00367-w</w:t>
      </w:r>
    </w:p>
    <w:p>
      <w:pPr>
        <w:spacing w:line="276" w:lineRule="auto"/>
        <w:ind w:left="454" w:hanging="454"/>
      </w:pPr>
      <w:r>
        <w:rPr>
          <w:sz w:val="20"/>
        </w:rPr>
        <w:t>39. Lu Y, Li D, Wang L, Zhang H, Jiang F, Zhang R, et al. Comprehensive Investigation on Associations between Dietary Intake and Blood Levels of Fatty Acids and Colorectal Cancer Risk. Nutrients. 2023;15(3):730. doi:10.3390/nu15030730</w:t>
      </w:r>
    </w:p>
    <w:p>
      <w:pPr>
        <w:spacing w:line="276" w:lineRule="auto"/>
        <w:ind w:left="454" w:hanging="454"/>
      </w:pPr>
      <w:r>
        <w:rPr>
          <w:sz w:val="20"/>
        </w:rPr>
        <w:t>40. Global Lipids Genetics Consortium. Discovery and refinement of loci associated with lipid levels. Nature Genetics. 2013;45(11):1274–1283. doi:10.1038/ng.2797</w:t>
      </w:r>
    </w:p>
    <w:p>
      <w:pPr>
        <w:spacing w:line="276" w:lineRule="auto"/>
        <w:ind w:left="454" w:hanging="454"/>
      </w:pPr>
      <w:r>
        <w:rPr>
          <w:sz w:val="20"/>
        </w:rPr>
        <w:t>41. Schaeffer L, Gohlke H, Müller M, Heid IM, Palmer LJ, Kompauer I, et al. Common genetic variants of the FADS1 FADS2 gene cluster and their reconstructed haplotypes are associated with the fatty acid composition in phospholipids. Human Molecular Genetics. 2006;15(11):1745–1756. doi:10.1093/hmg/ddl117</w:t>
      </w:r>
    </w:p>
    <w:p>
      <w:pPr>
        <w:spacing w:line="276" w:lineRule="auto"/>
        <w:ind w:left="454" w:hanging="454"/>
      </w:pPr>
      <w:r>
        <w:rPr>
          <w:sz w:val="20"/>
        </w:rPr>
        <w:t>42. Voight BF, Peloso GM, Orho-Melander M, Frikke-Schmidt R, Barbalic M, Jensen MK, et al. Plasma HDL cholesterol and risk of myocardial infarction: a mendelian randomisation study. The Lancet. 2012;380(9841):572–580. doi:10.1016/s0140-6736(12)60312-2</w:t>
      </w:r>
    </w:p>
    <w:p>
      <w:pPr>
        <w:spacing w:line="276" w:lineRule="auto"/>
        <w:ind w:left="454" w:hanging="454"/>
      </w:pPr>
      <w:r>
        <w:rPr>
          <w:sz w:val="20"/>
        </w:rPr>
        <w:t>43. Fry A, Littlejohns TJ, Sudlow C, Doherty N, Adamska L, Sprosen T, et al. Comparison of Sociodemographic and Health-Related Characteristics of UK Biobank Participants With Those of the General Population. American Journal of Epidemiology. 2017;186(9):1026–1034. doi:10.1093/aje/kwx246</w:t>
      </w:r>
    </w:p>
    <w:p>
      <w:pPr>
        <w:sectPr>
          <w:pgSz w:w="12240" w:h="15840"/>
          <w:pgMar w:top="1417" w:right="1417" w:bottom="1417" w:left="1417" w:header="720" w:footer="720" w:gutter="0"/>
          <w:cols w:space="720"/>
          <w:docGrid w:linePitch="360"/>
        </w:sectPr>
      </w:pPr>
    </w:p>
    <w:p>
      <w:pPr>
        <w:spacing w:line="276" w:lineRule="auto"/>
      </w:pPr>
      <w:r>
        <w:rPr>
          <w:b/>
          <w:sz w:val="20"/>
        </w:rPr>
        <w:t>Table 1.</w:t>
      </w:r>
      <w:r>
        <w:rPr>
          <w:sz w:val="20"/>
        </w:rPr>
        <w:t xml:space="preserve"> Baseline characteristics of UK Biobank participants by incident colon polyp and incident stomach/duodenal polyp status</w:t>
      </w:r>
    </w:p>
    <w:tbl>
      <w:tblPr>
        <w:tblW w:type="auto" w:w="0"/>
        <w:jc w:val="center"/>
        <w:tblLayout w:type="fixed"/>
        <w:tblLook w:firstColumn="1" w:firstRow="1" w:lastColumn="0" w:lastRow="0" w:noHBand="0" w:noVBand="1" w:val="04A0"/>
      </w:tblPr>
      <w:tblGrid>
        <w:gridCol w:w="1533"/>
        <w:gridCol w:w="1533"/>
        <w:gridCol w:w="1533"/>
        <w:gridCol w:w="1533"/>
        <w:gridCol w:w="1533"/>
        <w:gridCol w:w="1533"/>
        <w:gridCol w:w="1533"/>
        <w:gridCol w:w="1533"/>
        <w:gridCol w:w="1533"/>
      </w:tblGrid>
      <w:tr>
        <w:tc>
          <w:tcPr>
            <w:tcW w:type="dxa" w:w="3515"/>
            <w:tcBorders>
              <w:top w:val="single" w:sz="12" w:space="0" w:color="000000"/>
            </w:tcBorders>
          </w:tcPr>
          <w:p>
            <w:pPr>
              <w:spacing w:after="0" w:line="240" w:lineRule="auto"/>
              <w:jc w:val="center"/>
            </w:pPr>
            <w:r>
              <w:rPr>
                <w:b/>
              </w:rPr>
            </w:r>
            <w:r>
              <w:rPr>
                <w:b/>
                <w:sz w:val="15"/>
              </w:rPr>
              <w:t>Characteristic</w:t>
            </w:r>
          </w:p>
        </w:tc>
        <w:tc>
          <w:tcPr>
            <w:tcW w:type="dxa" w:w="4478"/>
            <w:gridSpan w:val="4"/>
            <w:tcBorders>
              <w:top w:val="single" w:sz="12" w:space="0" w:color="000000"/>
            </w:tcBorders>
          </w:tcPr>
          <w:p>
            <w:pPr>
              <w:spacing w:after="0" w:line="240" w:lineRule="auto"/>
              <w:jc w:val="center"/>
            </w:pPr>
            <w:r>
              <w:rPr>
                <w:b/>
              </w:rPr>
            </w:r>
            <w:r>
              <w:rPr>
                <w:b/>
                <w:sz w:val="15"/>
              </w:rPr>
              <w:t>Colon polyp (K63.5)</w:t>
            </w:r>
          </w:p>
          <w:p>
            <w:pPr>
              <w:spacing w:after="0" w:line="240" w:lineRule="auto"/>
              <w:jc w:val="center"/>
            </w:pPr>
            <w:r>
              <w:rPr>
                <w:b/>
              </w:rPr>
            </w:r>
          </w:p>
          <w:p>
            <w:pPr>
              <w:spacing w:after="0" w:line="240" w:lineRule="auto"/>
              <w:jc w:val="center"/>
            </w:pPr>
            <w:r>
              <w:rPr>
                <w:b/>
              </w:rPr>
            </w:r>
          </w:p>
          <w:p>
            <w:pPr>
              <w:spacing w:after="0" w:line="240" w:lineRule="auto"/>
              <w:jc w:val="center"/>
            </w:pPr>
            <w:r>
              <w:rPr>
                <w:b/>
              </w:rPr>
            </w:r>
          </w:p>
        </w:tc>
        <w:tc>
          <w:tcPr>
            <w:tcW w:type="dxa" w:w="4478"/>
            <w:gridSpan w:val="4"/>
            <w:tcBorders>
              <w:top w:val="single" w:sz="12" w:space="0" w:color="000000"/>
            </w:tcBorders>
          </w:tcPr>
          <w:p>
            <w:pPr>
              <w:spacing w:after="0" w:line="240" w:lineRule="auto"/>
              <w:jc w:val="center"/>
            </w:pPr>
            <w:r>
              <w:rPr>
                <w:b/>
              </w:rPr>
            </w:r>
            <w:r>
              <w:rPr>
                <w:b/>
                <w:sz w:val="15"/>
              </w:rPr>
              <w:t>Stomach/duodenal polyp (K31.7)</w:t>
            </w:r>
          </w:p>
          <w:p>
            <w:pPr>
              <w:spacing w:after="0" w:line="240" w:lineRule="auto"/>
              <w:jc w:val="center"/>
            </w:pPr>
            <w:r>
              <w:rPr>
                <w:b/>
              </w:rPr>
            </w:r>
          </w:p>
          <w:p>
            <w:pPr>
              <w:spacing w:after="0" w:line="240" w:lineRule="auto"/>
              <w:jc w:val="center"/>
            </w:pPr>
            <w:r>
              <w:rPr>
                <w:b/>
              </w:rPr>
            </w:r>
          </w:p>
          <w:p>
            <w:pPr>
              <w:spacing w:after="0" w:line="240" w:lineRule="auto"/>
              <w:jc w:val="center"/>
            </w:pPr>
            <w:r>
              <w:rPr>
                <w:b/>
              </w:rPr>
            </w:r>
          </w:p>
        </w:tc>
      </w:tr>
      <w:tr>
        <w:tc>
          <w:tcPr>
            <w:tcW w:type="dxa" w:w="3515"/>
            <w:tcBorders>
              <w:bottom w:val="single" w:sz="6" w:space="0" w:color="000000"/>
            </w:tcBorders>
          </w:tcPr>
          <w:p>
            <w:pPr>
              <w:spacing w:after="0" w:line="240" w:lineRule="auto"/>
              <w:jc w:val="center"/>
            </w:pPr>
            <w:r>
              <w:rPr>
                <w:b/>
              </w:rPr>
            </w:r>
          </w:p>
        </w:tc>
        <w:tc>
          <w:tcPr>
            <w:tcW w:type="dxa" w:w="1247"/>
            <w:tcBorders>
              <w:bottom w:val="single" w:sz="6" w:space="0" w:color="000000"/>
            </w:tcBorders>
          </w:tcPr>
          <w:p>
            <w:pPr>
              <w:spacing w:after="0" w:line="240" w:lineRule="auto"/>
              <w:jc w:val="center"/>
            </w:pPr>
            <w:r>
              <w:rPr>
                <w:b/>
              </w:rPr>
            </w:r>
            <w:r>
              <w:rPr>
                <w:b/>
                <w:sz w:val="15"/>
              </w:rPr>
              <w:t>All participants</w:t>
              <w:br/>
              <w:t>(n = 272,310)</w:t>
            </w:r>
          </w:p>
        </w:tc>
        <w:tc>
          <w:tcPr>
            <w:tcW w:type="dxa" w:w="1247"/>
            <w:tcBorders>
              <w:bottom w:val="single" w:sz="6" w:space="0" w:color="000000"/>
            </w:tcBorders>
          </w:tcPr>
          <w:p>
            <w:pPr>
              <w:spacing w:after="0" w:line="240" w:lineRule="auto"/>
              <w:jc w:val="center"/>
            </w:pPr>
            <w:r>
              <w:rPr>
                <w:b/>
              </w:rPr>
            </w:r>
            <w:r>
              <w:rPr>
                <w:b/>
                <w:sz w:val="15"/>
              </w:rPr>
              <w:t>Incident polyp</w:t>
              <w:br/>
              <w:t>(n = 15,677)</w:t>
            </w:r>
          </w:p>
        </w:tc>
        <w:tc>
          <w:tcPr>
            <w:tcW w:type="dxa" w:w="1247"/>
            <w:tcBorders>
              <w:bottom w:val="single" w:sz="6" w:space="0" w:color="000000"/>
            </w:tcBorders>
          </w:tcPr>
          <w:p>
            <w:pPr>
              <w:spacing w:after="0" w:line="240" w:lineRule="auto"/>
              <w:jc w:val="center"/>
            </w:pPr>
            <w:r>
              <w:rPr>
                <w:b/>
              </w:rPr>
            </w:r>
            <w:r>
              <w:rPr>
                <w:b/>
                <w:sz w:val="15"/>
              </w:rPr>
              <w:t>No polyp</w:t>
              <w:br/>
              <w:t>(n = 256,633)</w:t>
            </w:r>
          </w:p>
        </w:tc>
        <w:tc>
          <w:tcPr>
            <w:tcW w:type="dxa" w:w="737"/>
            <w:tcBorders>
              <w:bottom w:val="single" w:sz="6" w:space="0" w:color="000000"/>
            </w:tcBorders>
          </w:tcPr>
          <w:p>
            <w:pPr>
              <w:spacing w:after="0" w:line="240" w:lineRule="auto"/>
              <w:jc w:val="center"/>
            </w:pPr>
            <w:r>
              <w:rPr>
                <w:b/>
              </w:rPr>
            </w:r>
            <w:r>
              <w:rPr>
                <w:b/>
                <w:sz w:val="15"/>
              </w:rPr>
              <w:t>P</w:t>
            </w:r>
          </w:p>
        </w:tc>
        <w:tc>
          <w:tcPr>
            <w:tcW w:type="dxa" w:w="1247"/>
            <w:tcBorders>
              <w:bottom w:val="single" w:sz="6" w:space="0" w:color="000000"/>
            </w:tcBorders>
          </w:tcPr>
          <w:p>
            <w:pPr>
              <w:spacing w:after="0" w:line="240" w:lineRule="auto"/>
              <w:jc w:val="center"/>
            </w:pPr>
            <w:r>
              <w:rPr>
                <w:b/>
              </w:rPr>
            </w:r>
            <w:r>
              <w:rPr>
                <w:b/>
                <w:sz w:val="15"/>
              </w:rPr>
              <w:t>All participants</w:t>
              <w:br/>
              <w:t>(n = 273,634)</w:t>
            </w:r>
          </w:p>
        </w:tc>
        <w:tc>
          <w:tcPr>
            <w:tcW w:type="dxa" w:w="1247"/>
            <w:tcBorders>
              <w:bottom w:val="single" w:sz="6" w:space="0" w:color="000000"/>
            </w:tcBorders>
          </w:tcPr>
          <w:p>
            <w:pPr>
              <w:spacing w:after="0" w:line="240" w:lineRule="auto"/>
              <w:jc w:val="center"/>
            </w:pPr>
            <w:r>
              <w:rPr>
                <w:b/>
              </w:rPr>
            </w:r>
            <w:r>
              <w:rPr>
                <w:b/>
                <w:sz w:val="15"/>
              </w:rPr>
              <w:t>Incident polyp</w:t>
              <w:br/>
              <w:t>(n = 7,213)</w:t>
            </w:r>
          </w:p>
        </w:tc>
        <w:tc>
          <w:tcPr>
            <w:tcW w:type="dxa" w:w="1247"/>
            <w:tcBorders>
              <w:bottom w:val="single" w:sz="6" w:space="0" w:color="000000"/>
            </w:tcBorders>
          </w:tcPr>
          <w:p>
            <w:pPr>
              <w:spacing w:after="0" w:line="240" w:lineRule="auto"/>
              <w:jc w:val="center"/>
            </w:pPr>
            <w:r>
              <w:rPr>
                <w:b/>
              </w:rPr>
            </w:r>
            <w:r>
              <w:rPr>
                <w:b/>
                <w:sz w:val="15"/>
              </w:rPr>
              <w:t>No polyp</w:t>
              <w:br/>
              <w:t>(n = 266,421)</w:t>
            </w:r>
          </w:p>
        </w:tc>
        <w:tc>
          <w:tcPr>
            <w:tcW w:type="dxa" w:w="737"/>
            <w:tcBorders>
              <w:bottom w:val="single" w:sz="6" w:space="0" w:color="000000"/>
            </w:tcBorders>
          </w:tcPr>
          <w:p>
            <w:pPr>
              <w:spacing w:after="0" w:line="240" w:lineRule="auto"/>
              <w:jc w:val="center"/>
            </w:pPr>
            <w:r>
              <w:rPr>
                <w:b/>
              </w:rPr>
            </w:r>
            <w:r>
              <w:rPr>
                <w:b/>
                <w:sz w:val="15"/>
              </w:rPr>
              <w:t>P</w:t>
            </w:r>
          </w:p>
        </w:tc>
      </w:tr>
      <w:tr>
        <w:tc>
          <w:tcPr>
            <w:tcW w:type="dxa" w:w="3515"/>
          </w:tcPr>
          <w:p>
            <w:pPr>
              <w:spacing w:after="0" w:line="240" w:lineRule="auto"/>
            </w:pPr>
            <w:r/>
            <w:r>
              <w:rPr>
                <w:sz w:val="15"/>
              </w:rPr>
              <w:t>Age at recruitment, years</w:t>
            </w:r>
          </w:p>
        </w:tc>
        <w:tc>
          <w:tcPr>
            <w:tcW w:type="dxa" w:w="1247"/>
          </w:tcPr>
          <w:p>
            <w:pPr>
              <w:spacing w:after="0" w:line="240" w:lineRule="auto"/>
              <w:jc w:val="center"/>
            </w:pPr>
            <w:r/>
            <w:r>
              <w:rPr>
                <w:sz w:val="15"/>
              </w:rPr>
              <w:t>56.5 (8.1)</w:t>
            </w:r>
          </w:p>
        </w:tc>
        <w:tc>
          <w:tcPr>
            <w:tcW w:type="dxa" w:w="1247"/>
          </w:tcPr>
          <w:p>
            <w:pPr>
              <w:spacing w:after="0" w:line="240" w:lineRule="auto"/>
              <w:jc w:val="center"/>
            </w:pPr>
            <w:r/>
            <w:r>
              <w:rPr>
                <w:sz w:val="15"/>
              </w:rPr>
              <w:t>58.6 (7.3)</w:t>
            </w:r>
          </w:p>
        </w:tc>
        <w:tc>
          <w:tcPr>
            <w:tcW w:type="dxa" w:w="1247"/>
          </w:tcPr>
          <w:p>
            <w:pPr>
              <w:spacing w:after="0" w:line="240" w:lineRule="auto"/>
              <w:jc w:val="center"/>
            </w:pPr>
            <w:r/>
            <w:r>
              <w:rPr>
                <w:sz w:val="15"/>
              </w:rPr>
              <w:t>56.4 (8.1)</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56.6 (8.1)</w:t>
            </w:r>
          </w:p>
        </w:tc>
        <w:tc>
          <w:tcPr>
            <w:tcW w:type="dxa" w:w="1247"/>
          </w:tcPr>
          <w:p>
            <w:pPr>
              <w:spacing w:after="0" w:line="240" w:lineRule="auto"/>
              <w:jc w:val="center"/>
            </w:pPr>
            <w:r/>
            <w:r>
              <w:rPr>
                <w:sz w:val="15"/>
              </w:rPr>
              <w:t>59.5 (6.9)</w:t>
            </w:r>
          </w:p>
        </w:tc>
        <w:tc>
          <w:tcPr>
            <w:tcW w:type="dxa" w:w="1247"/>
          </w:tcPr>
          <w:p>
            <w:pPr>
              <w:spacing w:after="0" w:line="240" w:lineRule="auto"/>
              <w:jc w:val="center"/>
            </w:pPr>
            <w:r/>
            <w:r>
              <w:rPr>
                <w:sz w:val="15"/>
              </w:rPr>
              <w:t>56.5 (8.1)</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Female sex, n (%)</w:t>
            </w:r>
          </w:p>
        </w:tc>
        <w:tc>
          <w:tcPr>
            <w:tcW w:type="dxa" w:w="1247"/>
          </w:tcPr>
          <w:p>
            <w:pPr>
              <w:spacing w:after="0" w:line="240" w:lineRule="auto"/>
              <w:jc w:val="center"/>
            </w:pPr>
            <w:r/>
            <w:r>
              <w:rPr>
                <w:sz w:val="15"/>
              </w:rPr>
              <w:t>147,165 (54.0)</w:t>
            </w:r>
          </w:p>
        </w:tc>
        <w:tc>
          <w:tcPr>
            <w:tcW w:type="dxa" w:w="1247"/>
          </w:tcPr>
          <w:p>
            <w:pPr>
              <w:spacing w:after="0" w:line="240" w:lineRule="auto"/>
              <w:jc w:val="center"/>
            </w:pPr>
            <w:r/>
            <w:r>
              <w:rPr>
                <w:sz w:val="15"/>
              </w:rPr>
              <w:t>6,970 (44.5)</w:t>
            </w:r>
          </w:p>
        </w:tc>
        <w:tc>
          <w:tcPr>
            <w:tcW w:type="dxa" w:w="1247"/>
          </w:tcPr>
          <w:p>
            <w:pPr>
              <w:spacing w:after="0" w:line="240" w:lineRule="auto"/>
              <w:jc w:val="center"/>
            </w:pPr>
            <w:r/>
            <w:r>
              <w:rPr>
                <w:sz w:val="15"/>
              </w:rPr>
              <w:t>140,195 (54.6)</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147,628 (54.0)</w:t>
            </w:r>
          </w:p>
        </w:tc>
        <w:tc>
          <w:tcPr>
            <w:tcW w:type="dxa" w:w="1247"/>
          </w:tcPr>
          <w:p>
            <w:pPr>
              <w:spacing w:after="0" w:line="240" w:lineRule="auto"/>
              <w:jc w:val="center"/>
            </w:pPr>
            <w:r/>
            <w:r>
              <w:rPr>
                <w:sz w:val="15"/>
              </w:rPr>
              <w:t>4,380 (60.7)</w:t>
            </w:r>
          </w:p>
        </w:tc>
        <w:tc>
          <w:tcPr>
            <w:tcW w:type="dxa" w:w="1247"/>
          </w:tcPr>
          <w:p>
            <w:pPr>
              <w:spacing w:after="0" w:line="240" w:lineRule="auto"/>
              <w:jc w:val="center"/>
            </w:pPr>
            <w:r/>
            <w:r>
              <w:rPr>
                <w:sz w:val="15"/>
              </w:rPr>
              <w:t>143,248 (53.8)</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Townsend deprivation index</w:t>
            </w:r>
          </w:p>
        </w:tc>
        <w:tc>
          <w:tcPr>
            <w:tcW w:type="dxa" w:w="1247"/>
          </w:tcPr>
          <w:p>
            <w:pPr>
              <w:spacing w:after="0" w:line="240" w:lineRule="auto"/>
              <w:jc w:val="center"/>
            </w:pPr>
            <w:r/>
            <w:r>
              <w:rPr>
                <w:sz w:val="15"/>
              </w:rPr>
              <w:t>-2.21 (-3.68 to 0.44)</w:t>
            </w:r>
          </w:p>
        </w:tc>
        <w:tc>
          <w:tcPr>
            <w:tcW w:type="dxa" w:w="1247"/>
          </w:tcPr>
          <w:p>
            <w:pPr>
              <w:spacing w:after="0" w:line="240" w:lineRule="auto"/>
              <w:jc w:val="center"/>
            </w:pPr>
            <w:r/>
            <w:r>
              <w:rPr>
                <w:sz w:val="15"/>
              </w:rPr>
              <w:t>-2.08 (-3.58 to 0.75)</w:t>
            </w:r>
          </w:p>
        </w:tc>
        <w:tc>
          <w:tcPr>
            <w:tcW w:type="dxa" w:w="1247"/>
          </w:tcPr>
          <w:p>
            <w:pPr>
              <w:spacing w:after="0" w:line="240" w:lineRule="auto"/>
              <w:jc w:val="center"/>
            </w:pPr>
            <w:r/>
            <w:r>
              <w:rPr>
                <w:sz w:val="15"/>
              </w:rPr>
              <w:t>-2.21 (-3.68 to 0.42)</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-2.20 (-3.68 to 0.45)</w:t>
            </w:r>
          </w:p>
        </w:tc>
        <w:tc>
          <w:tcPr>
            <w:tcW w:type="dxa" w:w="1247"/>
          </w:tcPr>
          <w:p>
            <w:pPr>
              <w:spacing w:after="0" w:line="240" w:lineRule="auto"/>
              <w:jc w:val="center"/>
            </w:pPr>
            <w:r/>
            <w:r>
              <w:rPr>
                <w:sz w:val="15"/>
              </w:rPr>
              <w:t>-2.34 (-3.70 to 0.25)</w:t>
            </w:r>
          </w:p>
        </w:tc>
        <w:tc>
          <w:tcPr>
            <w:tcW w:type="dxa" w:w="1247"/>
          </w:tcPr>
          <w:p>
            <w:pPr>
              <w:spacing w:after="0" w:line="240" w:lineRule="auto"/>
              <w:jc w:val="center"/>
            </w:pPr>
            <w:r/>
            <w:r>
              <w:rPr>
                <w:sz w:val="15"/>
              </w:rPr>
              <w:t>-2.20 (-3.68 to 0.45)</w:t>
            </w:r>
          </w:p>
        </w:tc>
        <w:tc>
          <w:tcPr>
            <w:tcW w:type="dxa" w:w="737"/>
          </w:tcPr>
          <w:p>
            <w:pPr>
              <w:spacing w:after="0" w:line="240" w:lineRule="auto"/>
              <w:jc w:val="center"/>
            </w:pPr>
            <w:r/>
            <w:r>
              <w:rPr>
                <w:sz w:val="15"/>
              </w:rPr>
              <w:t>0.005</w:t>
            </w:r>
          </w:p>
        </w:tc>
      </w:tr>
      <w:tr>
        <w:tc>
          <w:tcPr>
            <w:tcW w:type="dxa" w:w="3515"/>
          </w:tcPr>
          <w:p>
            <w:pPr>
              <w:spacing w:after="0" w:line="240" w:lineRule="auto"/>
            </w:pPr>
            <w:r/>
            <w:r>
              <w:rPr>
                <w:sz w:val="15"/>
              </w:rPr>
              <w:t>Body mass index, kg/m²</w:t>
            </w:r>
          </w:p>
        </w:tc>
        <w:tc>
          <w:tcPr>
            <w:tcW w:type="dxa" w:w="1247"/>
          </w:tcPr>
          <w:p>
            <w:pPr>
              <w:spacing w:after="0" w:line="240" w:lineRule="auto"/>
              <w:jc w:val="center"/>
            </w:pPr>
            <w:r/>
            <w:r>
              <w:rPr>
                <w:sz w:val="15"/>
              </w:rPr>
              <w:t>27.4 (4.8)</w:t>
            </w:r>
          </w:p>
        </w:tc>
        <w:tc>
          <w:tcPr>
            <w:tcW w:type="dxa" w:w="1247"/>
          </w:tcPr>
          <w:p>
            <w:pPr>
              <w:spacing w:after="0" w:line="240" w:lineRule="auto"/>
              <w:jc w:val="center"/>
            </w:pPr>
            <w:r/>
            <w:r>
              <w:rPr>
                <w:sz w:val="15"/>
              </w:rPr>
              <w:t>28.4 (4.9)</w:t>
            </w:r>
          </w:p>
        </w:tc>
        <w:tc>
          <w:tcPr>
            <w:tcW w:type="dxa" w:w="1247"/>
          </w:tcPr>
          <w:p>
            <w:pPr>
              <w:spacing w:after="0" w:line="240" w:lineRule="auto"/>
              <w:jc w:val="center"/>
            </w:pPr>
            <w:r/>
            <w:r>
              <w:rPr>
                <w:sz w:val="15"/>
              </w:rPr>
              <w:t>27.4 (4.8)</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27.5 (4.8)</w:t>
            </w:r>
          </w:p>
        </w:tc>
        <w:tc>
          <w:tcPr>
            <w:tcW w:type="dxa" w:w="1247"/>
          </w:tcPr>
          <w:p>
            <w:pPr>
              <w:spacing w:after="0" w:line="240" w:lineRule="auto"/>
              <w:jc w:val="center"/>
            </w:pPr>
            <w:r/>
            <w:r>
              <w:rPr>
                <w:sz w:val="15"/>
              </w:rPr>
              <w:t>28.3 (4.9)</w:t>
            </w:r>
          </w:p>
        </w:tc>
        <w:tc>
          <w:tcPr>
            <w:tcW w:type="dxa" w:w="1247"/>
          </w:tcPr>
          <w:p>
            <w:pPr>
              <w:spacing w:after="0" w:line="240" w:lineRule="auto"/>
              <w:jc w:val="center"/>
            </w:pPr>
            <w:r/>
            <w:r>
              <w:rPr>
                <w:sz w:val="15"/>
              </w:rPr>
              <w:t>27.4 (4.8)</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Waist circumference, cm</w:t>
            </w:r>
          </w:p>
        </w:tc>
        <w:tc>
          <w:tcPr>
            <w:tcW w:type="dxa" w:w="1247"/>
          </w:tcPr>
          <w:p>
            <w:pPr>
              <w:spacing w:after="0" w:line="240" w:lineRule="auto"/>
              <w:jc w:val="center"/>
            </w:pPr>
            <w:r/>
            <w:r>
              <w:rPr>
                <w:sz w:val="15"/>
              </w:rPr>
              <w:t>90.3 (13.5)</w:t>
            </w:r>
          </w:p>
        </w:tc>
        <w:tc>
          <w:tcPr>
            <w:tcW w:type="dxa" w:w="1247"/>
          </w:tcPr>
          <w:p>
            <w:pPr>
              <w:spacing w:after="0" w:line="240" w:lineRule="auto"/>
              <w:jc w:val="center"/>
            </w:pPr>
            <w:r/>
            <w:r>
              <w:rPr>
                <w:sz w:val="15"/>
              </w:rPr>
              <w:t>94.2 (13.7)</w:t>
            </w:r>
          </w:p>
        </w:tc>
        <w:tc>
          <w:tcPr>
            <w:tcW w:type="dxa" w:w="1247"/>
          </w:tcPr>
          <w:p>
            <w:pPr>
              <w:spacing w:after="0" w:line="240" w:lineRule="auto"/>
              <w:jc w:val="center"/>
            </w:pPr>
            <w:r/>
            <w:r>
              <w:rPr>
                <w:sz w:val="15"/>
              </w:rPr>
              <w:t>90.0 (13.4)</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90.3 (13.5)</w:t>
            </w:r>
          </w:p>
        </w:tc>
        <w:tc>
          <w:tcPr>
            <w:tcW w:type="dxa" w:w="1247"/>
          </w:tcPr>
          <w:p>
            <w:pPr>
              <w:spacing w:after="0" w:line="240" w:lineRule="auto"/>
              <w:jc w:val="center"/>
            </w:pPr>
            <w:r/>
            <w:r>
              <w:rPr>
                <w:sz w:val="15"/>
              </w:rPr>
              <w:t>92.2 (13.2)</w:t>
            </w:r>
          </w:p>
        </w:tc>
        <w:tc>
          <w:tcPr>
            <w:tcW w:type="dxa" w:w="1247"/>
          </w:tcPr>
          <w:p>
            <w:pPr>
              <w:spacing w:after="0" w:line="240" w:lineRule="auto"/>
              <w:jc w:val="center"/>
            </w:pPr>
            <w:r/>
            <w:r>
              <w:rPr>
                <w:sz w:val="15"/>
              </w:rPr>
              <w:t>90.3 (13.5)</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Systolic blood pressure, mmHg</w:t>
            </w:r>
          </w:p>
        </w:tc>
        <w:tc>
          <w:tcPr>
            <w:tcW w:type="dxa" w:w="1247"/>
          </w:tcPr>
          <w:p>
            <w:pPr>
              <w:spacing w:after="0" w:line="240" w:lineRule="auto"/>
              <w:jc w:val="center"/>
            </w:pPr>
            <w:r/>
            <w:r>
              <w:rPr>
                <w:sz w:val="15"/>
              </w:rPr>
              <w:t>138 (19)</w:t>
            </w:r>
          </w:p>
        </w:tc>
        <w:tc>
          <w:tcPr>
            <w:tcW w:type="dxa" w:w="1247"/>
          </w:tcPr>
          <w:p>
            <w:pPr>
              <w:spacing w:after="0" w:line="240" w:lineRule="auto"/>
              <w:jc w:val="center"/>
            </w:pPr>
            <w:r/>
            <w:r>
              <w:rPr>
                <w:sz w:val="15"/>
              </w:rPr>
              <w:t>140 (18)</w:t>
            </w:r>
          </w:p>
        </w:tc>
        <w:tc>
          <w:tcPr>
            <w:tcW w:type="dxa" w:w="1247"/>
          </w:tcPr>
          <w:p>
            <w:pPr>
              <w:spacing w:after="0" w:line="240" w:lineRule="auto"/>
              <w:jc w:val="center"/>
            </w:pPr>
            <w:r/>
            <w:r>
              <w:rPr>
                <w:sz w:val="15"/>
              </w:rPr>
              <w:t>138 (19)</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138 (19)</w:t>
            </w:r>
          </w:p>
        </w:tc>
        <w:tc>
          <w:tcPr>
            <w:tcW w:type="dxa" w:w="1247"/>
          </w:tcPr>
          <w:p>
            <w:pPr>
              <w:spacing w:after="0" w:line="240" w:lineRule="auto"/>
              <w:jc w:val="center"/>
            </w:pPr>
            <w:r/>
            <w:r>
              <w:rPr>
                <w:sz w:val="15"/>
              </w:rPr>
              <w:t>139 (18)</w:t>
            </w:r>
          </w:p>
        </w:tc>
        <w:tc>
          <w:tcPr>
            <w:tcW w:type="dxa" w:w="1247"/>
          </w:tcPr>
          <w:p>
            <w:pPr>
              <w:spacing w:after="0" w:line="240" w:lineRule="auto"/>
              <w:jc w:val="center"/>
            </w:pPr>
            <w:r/>
            <w:r>
              <w:rPr>
                <w:sz w:val="15"/>
              </w:rPr>
              <w:t>138 (19)</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Diastolic blood pressure, mmHg</w:t>
            </w:r>
          </w:p>
        </w:tc>
        <w:tc>
          <w:tcPr>
            <w:tcW w:type="dxa" w:w="1247"/>
          </w:tcPr>
          <w:p>
            <w:pPr>
              <w:spacing w:after="0" w:line="240" w:lineRule="auto"/>
              <w:jc w:val="center"/>
            </w:pPr>
            <w:r/>
            <w:r>
              <w:rPr>
                <w:sz w:val="15"/>
              </w:rPr>
              <w:t>82 (10)</w:t>
            </w:r>
          </w:p>
        </w:tc>
        <w:tc>
          <w:tcPr>
            <w:tcW w:type="dxa" w:w="1247"/>
          </w:tcPr>
          <w:p>
            <w:pPr>
              <w:spacing w:after="0" w:line="240" w:lineRule="auto"/>
              <w:jc w:val="center"/>
            </w:pPr>
            <w:r/>
            <w:r>
              <w:rPr>
                <w:sz w:val="15"/>
              </w:rPr>
              <w:t>83 (10)</w:t>
            </w:r>
          </w:p>
        </w:tc>
        <w:tc>
          <w:tcPr>
            <w:tcW w:type="dxa" w:w="1247"/>
          </w:tcPr>
          <w:p>
            <w:pPr>
              <w:spacing w:after="0" w:line="240" w:lineRule="auto"/>
              <w:jc w:val="center"/>
            </w:pPr>
            <w:r/>
            <w:r>
              <w:rPr>
                <w:sz w:val="15"/>
              </w:rPr>
              <w:t>82 (10)</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82 (10)</w:t>
            </w:r>
          </w:p>
        </w:tc>
        <w:tc>
          <w:tcPr>
            <w:tcW w:type="dxa" w:w="1247"/>
          </w:tcPr>
          <w:p>
            <w:pPr>
              <w:spacing w:after="0" w:line="240" w:lineRule="auto"/>
              <w:jc w:val="center"/>
            </w:pPr>
            <w:r/>
            <w:r>
              <w:rPr>
                <w:sz w:val="15"/>
              </w:rPr>
              <w:t>82 (10)</w:t>
            </w:r>
          </w:p>
        </w:tc>
        <w:tc>
          <w:tcPr>
            <w:tcW w:type="dxa" w:w="1247"/>
          </w:tcPr>
          <w:p>
            <w:pPr>
              <w:spacing w:after="0" w:line="240" w:lineRule="auto"/>
              <w:jc w:val="center"/>
            </w:pPr>
            <w:r/>
            <w:r>
              <w:rPr>
                <w:sz w:val="15"/>
              </w:rPr>
              <w:t>82 (10)</w:t>
            </w:r>
          </w:p>
        </w:tc>
        <w:tc>
          <w:tcPr>
            <w:tcW w:type="dxa" w:w="737"/>
          </w:tcPr>
          <w:p>
            <w:pPr>
              <w:spacing w:after="0" w:line="240" w:lineRule="auto"/>
              <w:jc w:val="center"/>
            </w:pPr>
            <w:r/>
            <w:r>
              <w:rPr>
                <w:sz w:val="15"/>
              </w:rPr>
              <w:t>0.590</w:t>
            </w:r>
          </w:p>
        </w:tc>
      </w:tr>
      <w:tr>
        <w:tc>
          <w:tcPr>
            <w:tcW w:type="dxa" w:w="3515"/>
          </w:tcPr>
          <w:p>
            <w:pPr>
              <w:spacing w:after="0" w:line="240" w:lineRule="auto"/>
            </w:pPr>
            <w:r>
              <w:rPr>
                <w:b/>
              </w:rPr>
            </w:r>
            <w:r>
              <w:rPr>
                <w:b/>
                <w:sz w:val="15"/>
              </w:rPr>
              <w:t>Smoking status, n (%)</w:t>
            </w:r>
          </w:p>
        </w:tc>
        <w:tc>
          <w:tcPr>
            <w:tcW w:type="dxa" w:w="1247"/>
          </w:tcPr>
          <w:p>
            <w:pPr>
              <w:spacing w:after="0" w:line="240" w:lineRule="auto"/>
              <w:jc w:val="center"/>
            </w:pPr>
            <w:r>
              <w:rPr>
                <w:b/>
              </w:rPr>
            </w:r>
          </w:p>
        </w:tc>
        <w:tc>
          <w:tcPr>
            <w:tcW w:type="dxa" w:w="1247"/>
          </w:tcPr>
          <w:p>
            <w:pPr>
              <w:spacing w:after="0" w:line="240" w:lineRule="auto"/>
              <w:jc w:val="center"/>
            </w:pPr>
            <w:r>
              <w:rPr>
                <w:b/>
              </w:rPr>
            </w:r>
          </w:p>
        </w:tc>
        <w:tc>
          <w:tcPr>
            <w:tcW w:type="dxa" w:w="1247"/>
          </w:tcPr>
          <w:p>
            <w:pPr>
              <w:spacing w:after="0" w:line="240" w:lineRule="auto"/>
              <w:jc w:val="center"/>
            </w:pPr>
            <w:r>
              <w:rPr>
                <w:b/>
              </w:rPr>
            </w:r>
          </w:p>
        </w:tc>
        <w:tc>
          <w:tcPr>
            <w:tcW w:type="dxa" w:w="737"/>
          </w:tcPr>
          <w:p>
            <w:pPr>
              <w:spacing w:after="0" w:line="240" w:lineRule="auto"/>
              <w:jc w:val="center"/>
            </w:pPr>
            <w:r>
              <w:rPr>
                <w:b/>
              </w:rPr>
            </w:r>
          </w:p>
        </w:tc>
        <w:tc>
          <w:tcPr>
            <w:tcW w:type="dxa" w:w="1247"/>
          </w:tcPr>
          <w:p>
            <w:pPr>
              <w:spacing w:after="0" w:line="240" w:lineRule="auto"/>
              <w:jc w:val="center"/>
            </w:pPr>
            <w:r>
              <w:rPr>
                <w:b/>
              </w:rPr>
            </w:r>
          </w:p>
        </w:tc>
        <w:tc>
          <w:tcPr>
            <w:tcW w:type="dxa" w:w="1247"/>
          </w:tcPr>
          <w:p>
            <w:pPr>
              <w:spacing w:after="0" w:line="240" w:lineRule="auto"/>
              <w:jc w:val="center"/>
            </w:pPr>
            <w:r>
              <w:rPr>
                <w:b/>
              </w:rPr>
            </w:r>
          </w:p>
        </w:tc>
        <w:tc>
          <w:tcPr>
            <w:tcW w:type="dxa" w:w="1247"/>
          </w:tcPr>
          <w:p>
            <w:pPr>
              <w:spacing w:after="0" w:line="240" w:lineRule="auto"/>
              <w:jc w:val="center"/>
            </w:pPr>
            <w:r>
              <w:rPr>
                <w:b/>
              </w:rPr>
            </w:r>
          </w:p>
        </w:tc>
        <w:tc>
          <w:tcPr>
            <w:tcW w:type="dxa" w:w="737"/>
          </w:tcPr>
          <w:p>
            <w:pPr>
              <w:spacing w:after="0" w:line="240" w:lineRule="auto"/>
              <w:jc w:val="center"/>
            </w:pPr>
            <w:r>
              <w:rPr>
                <w:b/>
              </w:rPr>
            </w:r>
          </w:p>
        </w:tc>
      </w:tr>
      <w:tr>
        <w:tc>
          <w:tcPr>
            <w:tcW w:type="dxa" w:w="3515"/>
          </w:tcPr>
          <w:p>
            <w:pPr>
              <w:spacing w:after="0" w:line="240" w:lineRule="auto"/>
              <w:ind w:left="227"/>
            </w:pPr>
            <w:r/>
            <w:r>
              <w:rPr>
                <w:sz w:val="15"/>
              </w:rPr>
              <w:t>Never</w:t>
            </w:r>
          </w:p>
        </w:tc>
        <w:tc>
          <w:tcPr>
            <w:tcW w:type="dxa" w:w="1247"/>
          </w:tcPr>
          <w:p>
            <w:pPr>
              <w:spacing w:after="0" w:line="240" w:lineRule="auto"/>
              <w:jc w:val="center"/>
            </w:pPr>
            <w:r/>
            <w:r>
              <w:rPr>
                <w:sz w:val="15"/>
              </w:rPr>
              <w:t>148,355 (54.7)</w:t>
            </w:r>
          </w:p>
        </w:tc>
        <w:tc>
          <w:tcPr>
            <w:tcW w:type="dxa" w:w="1247"/>
          </w:tcPr>
          <w:p>
            <w:pPr>
              <w:spacing w:after="0" w:line="240" w:lineRule="auto"/>
              <w:jc w:val="center"/>
            </w:pPr>
            <w:r/>
            <w:r>
              <w:rPr>
                <w:sz w:val="15"/>
              </w:rPr>
              <w:t>6,780 (43.5)</w:t>
            </w:r>
          </w:p>
        </w:tc>
        <w:tc>
          <w:tcPr>
            <w:tcW w:type="dxa" w:w="1247"/>
          </w:tcPr>
          <w:p>
            <w:pPr>
              <w:spacing w:after="0" w:line="240" w:lineRule="auto"/>
              <w:jc w:val="center"/>
            </w:pPr>
            <w:r/>
            <w:r>
              <w:rPr>
                <w:sz w:val="15"/>
              </w:rPr>
              <w:t>141,575 (55.4)</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148,741 (54.6)</w:t>
            </w:r>
          </w:p>
        </w:tc>
        <w:tc>
          <w:tcPr>
            <w:tcW w:type="dxa" w:w="1247"/>
          </w:tcPr>
          <w:p>
            <w:pPr>
              <w:spacing w:after="0" w:line="240" w:lineRule="auto"/>
              <w:jc w:val="center"/>
            </w:pPr>
            <w:r/>
            <w:r>
              <w:rPr>
                <w:sz w:val="15"/>
              </w:rPr>
              <w:t>4,013 (55.9)</w:t>
            </w:r>
          </w:p>
        </w:tc>
        <w:tc>
          <w:tcPr>
            <w:tcW w:type="dxa" w:w="1247"/>
          </w:tcPr>
          <w:p>
            <w:pPr>
              <w:spacing w:after="0" w:line="240" w:lineRule="auto"/>
              <w:jc w:val="center"/>
            </w:pPr>
            <w:r/>
            <w:r>
              <w:rPr>
                <w:sz w:val="15"/>
              </w:rPr>
              <w:t>144,728 (54.6)</w:t>
            </w:r>
          </w:p>
        </w:tc>
        <w:tc>
          <w:tcPr>
            <w:tcW w:type="dxa" w:w="737"/>
          </w:tcPr>
          <w:p>
            <w:pPr>
              <w:spacing w:after="0" w:line="240" w:lineRule="auto"/>
              <w:jc w:val="center"/>
            </w:pPr>
            <w:r/>
            <w:r>
              <w:rPr>
                <w:sz w:val="15"/>
              </w:rPr>
              <w:t>0.028</w:t>
            </w:r>
          </w:p>
        </w:tc>
      </w:tr>
      <w:tr>
        <w:tc>
          <w:tcPr>
            <w:tcW w:type="dxa" w:w="3515"/>
          </w:tcPr>
          <w:p>
            <w:pPr>
              <w:spacing w:after="0" w:line="240" w:lineRule="auto"/>
              <w:ind w:left="227"/>
            </w:pPr>
            <w:r/>
            <w:r>
              <w:rPr>
                <w:sz w:val="15"/>
              </w:rPr>
              <w:t>Previous</w:t>
            </w:r>
          </w:p>
        </w:tc>
        <w:tc>
          <w:tcPr>
            <w:tcW w:type="dxa" w:w="1247"/>
          </w:tcPr>
          <w:p>
            <w:pPr>
              <w:spacing w:after="0" w:line="240" w:lineRule="auto"/>
              <w:jc w:val="center"/>
            </w:pPr>
            <w:r/>
            <w:r>
              <w:rPr>
                <w:sz w:val="15"/>
              </w:rPr>
              <w:t>94,065 (34.7)</w:t>
            </w:r>
          </w:p>
        </w:tc>
        <w:tc>
          <w:tcPr>
            <w:tcW w:type="dxa" w:w="1247"/>
          </w:tcPr>
          <w:p>
            <w:pPr>
              <w:spacing w:after="0" w:line="240" w:lineRule="auto"/>
              <w:jc w:val="center"/>
            </w:pPr>
            <w:r/>
            <w:r>
              <w:rPr>
                <w:sz w:val="15"/>
              </w:rPr>
              <w:t>6,462 (41.4)</w:t>
            </w:r>
          </w:p>
        </w:tc>
        <w:tc>
          <w:tcPr>
            <w:tcW w:type="dxa" w:w="1247"/>
          </w:tcPr>
          <w:p>
            <w:pPr>
              <w:spacing w:after="0" w:line="240" w:lineRule="auto"/>
              <w:jc w:val="center"/>
            </w:pPr>
            <w:r/>
            <w:r>
              <w:rPr>
                <w:sz w:val="15"/>
              </w:rPr>
              <w:t>87,603 (34.3)</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94,733 (34.8)</w:t>
            </w:r>
          </w:p>
        </w:tc>
        <w:tc>
          <w:tcPr>
            <w:tcW w:type="dxa" w:w="1247"/>
          </w:tcPr>
          <w:p>
            <w:pPr>
              <w:spacing w:after="0" w:line="240" w:lineRule="auto"/>
              <w:jc w:val="center"/>
            </w:pPr>
            <w:r/>
            <w:r>
              <w:rPr>
                <w:sz w:val="15"/>
              </w:rPr>
              <w:t>2,705 (37.7)</w:t>
            </w:r>
          </w:p>
        </w:tc>
        <w:tc>
          <w:tcPr>
            <w:tcW w:type="dxa" w:w="1247"/>
          </w:tcPr>
          <w:p>
            <w:pPr>
              <w:spacing w:after="0" w:line="240" w:lineRule="auto"/>
              <w:jc w:val="center"/>
            </w:pPr>
            <w:r/>
            <w:r>
              <w:rPr>
                <w:sz w:val="15"/>
              </w:rPr>
              <w:t>92,028 (34.7)</w:t>
            </w:r>
          </w:p>
        </w:tc>
        <w:tc>
          <w:tcPr>
            <w:tcW w:type="dxa" w:w="737"/>
          </w:tcPr>
          <w:p>
            <w:pPr>
              <w:spacing w:after="0" w:line="240" w:lineRule="auto"/>
              <w:jc w:val="center"/>
            </w:pPr>
            <w:r/>
            <w:r>
              <w:rPr>
                <w:sz w:val="15"/>
              </w:rPr>
              <w:t>&lt;0.001</w:t>
            </w:r>
          </w:p>
        </w:tc>
      </w:tr>
      <w:tr>
        <w:tc>
          <w:tcPr>
            <w:tcW w:type="dxa" w:w="3515"/>
          </w:tcPr>
          <w:p>
            <w:pPr>
              <w:spacing w:after="0" w:line="240" w:lineRule="auto"/>
              <w:ind w:left="227"/>
            </w:pPr>
            <w:r/>
            <w:r>
              <w:rPr>
                <w:sz w:val="15"/>
              </w:rPr>
              <w:t>Current</w:t>
            </w:r>
          </w:p>
        </w:tc>
        <w:tc>
          <w:tcPr>
            <w:tcW w:type="dxa" w:w="1247"/>
          </w:tcPr>
          <w:p>
            <w:pPr>
              <w:spacing w:after="0" w:line="240" w:lineRule="auto"/>
              <w:jc w:val="center"/>
            </w:pPr>
            <w:r/>
            <w:r>
              <w:rPr>
                <w:sz w:val="15"/>
              </w:rPr>
              <w:t>28,569 (10.5)</w:t>
            </w:r>
          </w:p>
        </w:tc>
        <w:tc>
          <w:tcPr>
            <w:tcW w:type="dxa" w:w="1247"/>
          </w:tcPr>
          <w:p>
            <w:pPr>
              <w:spacing w:after="0" w:line="240" w:lineRule="auto"/>
              <w:jc w:val="center"/>
            </w:pPr>
            <w:r/>
            <w:r>
              <w:rPr>
                <w:sz w:val="15"/>
              </w:rPr>
              <w:t>2,353 (15.1)</w:t>
            </w:r>
          </w:p>
        </w:tc>
        <w:tc>
          <w:tcPr>
            <w:tcW w:type="dxa" w:w="1247"/>
          </w:tcPr>
          <w:p>
            <w:pPr>
              <w:spacing w:after="0" w:line="240" w:lineRule="auto"/>
              <w:jc w:val="center"/>
            </w:pPr>
            <w:r/>
            <w:r>
              <w:rPr>
                <w:sz w:val="15"/>
              </w:rPr>
              <w:t>26,216 (10.3)</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28,825 (10.6)</w:t>
            </w:r>
          </w:p>
        </w:tc>
        <w:tc>
          <w:tcPr>
            <w:tcW w:type="dxa" w:w="1247"/>
          </w:tcPr>
          <w:p>
            <w:pPr>
              <w:spacing w:after="0" w:line="240" w:lineRule="auto"/>
              <w:jc w:val="center"/>
            </w:pPr>
            <w:r/>
            <w:r>
              <w:rPr>
                <w:sz w:val="15"/>
              </w:rPr>
              <w:t>460 (6.4)</w:t>
            </w:r>
          </w:p>
        </w:tc>
        <w:tc>
          <w:tcPr>
            <w:tcW w:type="dxa" w:w="1247"/>
          </w:tcPr>
          <w:p>
            <w:pPr>
              <w:spacing w:after="0" w:line="240" w:lineRule="auto"/>
              <w:jc w:val="center"/>
            </w:pPr>
            <w:r/>
            <w:r>
              <w:rPr>
                <w:sz w:val="15"/>
              </w:rPr>
              <w:t>28,365 (10.7)</w:t>
            </w:r>
          </w:p>
        </w:tc>
        <w:tc>
          <w:tcPr>
            <w:tcW w:type="dxa" w:w="737"/>
          </w:tcPr>
          <w:p>
            <w:pPr>
              <w:spacing w:after="0" w:line="240" w:lineRule="auto"/>
              <w:jc w:val="center"/>
            </w:pPr>
            <w:r/>
            <w:r>
              <w:rPr>
                <w:sz w:val="15"/>
              </w:rPr>
              <w:t>&lt;0.001</w:t>
            </w:r>
          </w:p>
        </w:tc>
      </w:tr>
      <w:tr>
        <w:tc>
          <w:tcPr>
            <w:tcW w:type="dxa" w:w="3515"/>
          </w:tcPr>
          <w:p>
            <w:pPr>
              <w:spacing w:after="0" w:line="240" w:lineRule="auto"/>
            </w:pPr>
            <w:r>
              <w:rPr>
                <w:b/>
              </w:rPr>
            </w:r>
            <w:r>
              <w:rPr>
                <w:b/>
                <w:sz w:val="15"/>
              </w:rPr>
              <w:t>Alcohol drinking, n (%)</w:t>
            </w:r>
          </w:p>
        </w:tc>
        <w:tc>
          <w:tcPr>
            <w:tcW w:type="dxa" w:w="1247"/>
          </w:tcPr>
          <w:p>
            <w:pPr>
              <w:spacing w:after="0" w:line="240" w:lineRule="auto"/>
              <w:jc w:val="center"/>
            </w:pPr>
            <w:r>
              <w:rPr>
                <w:b/>
              </w:rPr>
            </w:r>
          </w:p>
        </w:tc>
        <w:tc>
          <w:tcPr>
            <w:tcW w:type="dxa" w:w="1247"/>
          </w:tcPr>
          <w:p>
            <w:pPr>
              <w:spacing w:after="0" w:line="240" w:lineRule="auto"/>
              <w:jc w:val="center"/>
            </w:pPr>
            <w:r>
              <w:rPr>
                <w:b/>
              </w:rPr>
            </w:r>
          </w:p>
        </w:tc>
        <w:tc>
          <w:tcPr>
            <w:tcW w:type="dxa" w:w="1247"/>
          </w:tcPr>
          <w:p>
            <w:pPr>
              <w:spacing w:after="0" w:line="240" w:lineRule="auto"/>
              <w:jc w:val="center"/>
            </w:pPr>
            <w:r>
              <w:rPr>
                <w:b/>
              </w:rPr>
            </w:r>
          </w:p>
        </w:tc>
        <w:tc>
          <w:tcPr>
            <w:tcW w:type="dxa" w:w="737"/>
          </w:tcPr>
          <w:p>
            <w:pPr>
              <w:spacing w:after="0" w:line="240" w:lineRule="auto"/>
              <w:jc w:val="center"/>
            </w:pPr>
            <w:r>
              <w:rPr>
                <w:b/>
              </w:rPr>
            </w:r>
          </w:p>
        </w:tc>
        <w:tc>
          <w:tcPr>
            <w:tcW w:type="dxa" w:w="1247"/>
          </w:tcPr>
          <w:p>
            <w:pPr>
              <w:spacing w:after="0" w:line="240" w:lineRule="auto"/>
              <w:jc w:val="center"/>
            </w:pPr>
            <w:r>
              <w:rPr>
                <w:b/>
              </w:rPr>
            </w:r>
          </w:p>
        </w:tc>
        <w:tc>
          <w:tcPr>
            <w:tcW w:type="dxa" w:w="1247"/>
          </w:tcPr>
          <w:p>
            <w:pPr>
              <w:spacing w:after="0" w:line="240" w:lineRule="auto"/>
              <w:jc w:val="center"/>
            </w:pPr>
            <w:r>
              <w:rPr>
                <w:b/>
              </w:rPr>
            </w:r>
          </w:p>
        </w:tc>
        <w:tc>
          <w:tcPr>
            <w:tcW w:type="dxa" w:w="1247"/>
          </w:tcPr>
          <w:p>
            <w:pPr>
              <w:spacing w:after="0" w:line="240" w:lineRule="auto"/>
              <w:jc w:val="center"/>
            </w:pPr>
            <w:r>
              <w:rPr>
                <w:b/>
              </w:rPr>
            </w:r>
          </w:p>
        </w:tc>
        <w:tc>
          <w:tcPr>
            <w:tcW w:type="dxa" w:w="737"/>
          </w:tcPr>
          <w:p>
            <w:pPr>
              <w:spacing w:after="0" w:line="240" w:lineRule="auto"/>
              <w:jc w:val="center"/>
            </w:pPr>
            <w:r>
              <w:rPr>
                <w:b/>
              </w:rPr>
            </w:r>
          </w:p>
        </w:tc>
      </w:tr>
      <w:tr>
        <w:tc>
          <w:tcPr>
            <w:tcW w:type="dxa" w:w="3515"/>
          </w:tcPr>
          <w:p>
            <w:pPr>
              <w:spacing w:after="0" w:line="240" w:lineRule="auto"/>
              <w:ind w:left="227"/>
            </w:pPr>
            <w:r/>
            <w:r>
              <w:rPr>
                <w:sz w:val="15"/>
              </w:rPr>
              <w:t xml:space="preserve">Never </w:t>
            </w:r>
          </w:p>
        </w:tc>
        <w:tc>
          <w:tcPr>
            <w:tcW w:type="dxa" w:w="1247"/>
          </w:tcPr>
          <w:p>
            <w:pPr>
              <w:spacing w:after="0" w:line="240" w:lineRule="auto"/>
              <w:jc w:val="center"/>
            </w:pPr>
            <w:r/>
            <w:r>
              <w:rPr>
                <w:sz w:val="15"/>
              </w:rPr>
              <w:t>11,823 (4.4)</w:t>
            </w:r>
          </w:p>
        </w:tc>
        <w:tc>
          <w:tcPr>
            <w:tcW w:type="dxa" w:w="1247"/>
          </w:tcPr>
          <w:p>
            <w:pPr>
              <w:spacing w:after="0" w:line="240" w:lineRule="auto"/>
              <w:jc w:val="center"/>
            </w:pPr>
            <w:r/>
            <w:r>
              <w:rPr>
                <w:sz w:val="15"/>
              </w:rPr>
              <w:t>564 (3.6)</w:t>
            </w:r>
          </w:p>
        </w:tc>
        <w:tc>
          <w:tcPr>
            <w:tcW w:type="dxa" w:w="1247"/>
          </w:tcPr>
          <w:p>
            <w:pPr>
              <w:spacing w:after="0" w:line="240" w:lineRule="auto"/>
              <w:jc w:val="center"/>
            </w:pPr>
            <w:r/>
            <w:r>
              <w:rPr>
                <w:sz w:val="15"/>
              </w:rPr>
              <w:t>11,259 (4.4)</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11,879 (4.4)</w:t>
            </w:r>
          </w:p>
        </w:tc>
        <w:tc>
          <w:tcPr>
            <w:tcW w:type="dxa" w:w="1247"/>
          </w:tcPr>
          <w:p>
            <w:pPr>
              <w:spacing w:after="0" w:line="240" w:lineRule="auto"/>
              <w:jc w:val="center"/>
            </w:pPr>
            <w:r/>
            <w:r>
              <w:rPr>
                <w:sz w:val="15"/>
              </w:rPr>
              <w:t>388 (5.4)</w:t>
            </w:r>
          </w:p>
        </w:tc>
        <w:tc>
          <w:tcPr>
            <w:tcW w:type="dxa" w:w="1247"/>
          </w:tcPr>
          <w:p>
            <w:pPr>
              <w:spacing w:after="0" w:line="240" w:lineRule="auto"/>
              <w:jc w:val="center"/>
            </w:pPr>
            <w:r/>
            <w:r>
              <w:rPr>
                <w:sz w:val="15"/>
              </w:rPr>
              <w:t>11,491 (4.3)</w:t>
            </w:r>
          </w:p>
        </w:tc>
        <w:tc>
          <w:tcPr>
            <w:tcW w:type="dxa" w:w="737"/>
          </w:tcPr>
          <w:p>
            <w:pPr>
              <w:spacing w:after="0" w:line="240" w:lineRule="auto"/>
              <w:jc w:val="center"/>
            </w:pPr>
            <w:r/>
            <w:r>
              <w:rPr>
                <w:sz w:val="15"/>
              </w:rPr>
              <w:t>&lt;0.001</w:t>
            </w:r>
          </w:p>
        </w:tc>
      </w:tr>
      <w:tr>
        <w:tc>
          <w:tcPr>
            <w:tcW w:type="dxa" w:w="3515"/>
          </w:tcPr>
          <w:p>
            <w:pPr>
              <w:spacing w:after="0" w:line="240" w:lineRule="auto"/>
              <w:ind w:left="227"/>
            </w:pPr>
            <w:r/>
            <w:r>
              <w:rPr>
                <w:sz w:val="15"/>
              </w:rPr>
              <w:t xml:space="preserve">Previous </w:t>
            </w:r>
          </w:p>
        </w:tc>
        <w:tc>
          <w:tcPr>
            <w:tcW w:type="dxa" w:w="1247"/>
          </w:tcPr>
          <w:p>
            <w:pPr>
              <w:spacing w:after="0" w:line="240" w:lineRule="auto"/>
              <w:jc w:val="center"/>
            </w:pPr>
            <w:r/>
            <w:r>
              <w:rPr>
                <w:sz w:val="15"/>
              </w:rPr>
              <w:t>9,694 (3.6)</w:t>
            </w:r>
          </w:p>
        </w:tc>
        <w:tc>
          <w:tcPr>
            <w:tcW w:type="dxa" w:w="1247"/>
          </w:tcPr>
          <w:p>
            <w:pPr>
              <w:spacing w:after="0" w:line="240" w:lineRule="auto"/>
              <w:jc w:val="center"/>
            </w:pPr>
            <w:r/>
            <w:r>
              <w:rPr>
                <w:sz w:val="15"/>
              </w:rPr>
              <w:t>638 (4.1)</w:t>
            </w:r>
          </w:p>
        </w:tc>
        <w:tc>
          <w:tcPr>
            <w:tcW w:type="dxa" w:w="1247"/>
          </w:tcPr>
          <w:p>
            <w:pPr>
              <w:spacing w:after="0" w:line="240" w:lineRule="auto"/>
              <w:jc w:val="center"/>
            </w:pPr>
            <w:r/>
            <w:r>
              <w:rPr>
                <w:sz w:val="15"/>
              </w:rPr>
              <w:t>9,056 (3.5)</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9,743 (3.6)</w:t>
            </w:r>
          </w:p>
        </w:tc>
        <w:tc>
          <w:tcPr>
            <w:tcW w:type="dxa" w:w="1247"/>
          </w:tcPr>
          <w:p>
            <w:pPr>
              <w:spacing w:after="0" w:line="240" w:lineRule="auto"/>
              <w:jc w:val="center"/>
            </w:pPr>
            <w:r/>
            <w:r>
              <w:rPr>
                <w:sz w:val="15"/>
              </w:rPr>
              <w:t>358 (5.0)</w:t>
            </w:r>
          </w:p>
        </w:tc>
        <w:tc>
          <w:tcPr>
            <w:tcW w:type="dxa" w:w="1247"/>
          </w:tcPr>
          <w:p>
            <w:pPr>
              <w:spacing w:after="0" w:line="240" w:lineRule="auto"/>
              <w:jc w:val="center"/>
            </w:pPr>
            <w:r/>
            <w:r>
              <w:rPr>
                <w:sz w:val="15"/>
              </w:rPr>
              <w:t>9,385 (3.5)</w:t>
            </w:r>
          </w:p>
        </w:tc>
        <w:tc>
          <w:tcPr>
            <w:tcW w:type="dxa" w:w="737"/>
          </w:tcPr>
          <w:p>
            <w:pPr>
              <w:spacing w:after="0" w:line="240" w:lineRule="auto"/>
              <w:jc w:val="center"/>
            </w:pPr>
            <w:r/>
            <w:r>
              <w:rPr>
                <w:sz w:val="15"/>
              </w:rPr>
              <w:t>&lt;0.001</w:t>
            </w:r>
          </w:p>
        </w:tc>
      </w:tr>
      <w:tr>
        <w:tc>
          <w:tcPr>
            <w:tcW w:type="dxa" w:w="3515"/>
          </w:tcPr>
          <w:p>
            <w:pPr>
              <w:spacing w:after="0" w:line="240" w:lineRule="auto"/>
              <w:ind w:left="227"/>
            </w:pPr>
            <w:r/>
            <w:r>
              <w:rPr>
                <w:sz w:val="15"/>
              </w:rPr>
              <w:t xml:space="preserve">Current </w:t>
            </w:r>
          </w:p>
        </w:tc>
        <w:tc>
          <w:tcPr>
            <w:tcW w:type="dxa" w:w="1247"/>
          </w:tcPr>
          <w:p>
            <w:pPr>
              <w:spacing w:after="0" w:line="240" w:lineRule="auto"/>
              <w:jc w:val="center"/>
            </w:pPr>
            <w:r/>
            <w:r>
              <w:rPr>
                <w:sz w:val="15"/>
              </w:rPr>
              <w:t>250,155 (92.1)</w:t>
            </w:r>
          </w:p>
        </w:tc>
        <w:tc>
          <w:tcPr>
            <w:tcW w:type="dxa" w:w="1247"/>
          </w:tcPr>
          <w:p>
            <w:pPr>
              <w:spacing w:after="0" w:line="240" w:lineRule="auto"/>
              <w:jc w:val="center"/>
            </w:pPr>
            <w:r/>
            <w:r>
              <w:rPr>
                <w:sz w:val="15"/>
              </w:rPr>
              <w:t>14,441 (92.3)</w:t>
            </w:r>
          </w:p>
        </w:tc>
        <w:tc>
          <w:tcPr>
            <w:tcW w:type="dxa" w:w="1247"/>
          </w:tcPr>
          <w:p>
            <w:pPr>
              <w:spacing w:after="0" w:line="240" w:lineRule="auto"/>
              <w:jc w:val="center"/>
            </w:pPr>
            <w:r/>
            <w:r>
              <w:rPr>
                <w:sz w:val="15"/>
              </w:rPr>
              <w:t>235,714 (92.1)</w:t>
            </w:r>
          </w:p>
        </w:tc>
        <w:tc>
          <w:tcPr>
            <w:tcW w:type="dxa" w:w="737"/>
          </w:tcPr>
          <w:p>
            <w:pPr>
              <w:spacing w:after="0" w:line="240" w:lineRule="auto"/>
              <w:jc w:val="center"/>
            </w:pPr>
            <w:r/>
            <w:r>
              <w:rPr>
                <w:sz w:val="15"/>
              </w:rPr>
              <w:t>0.266</w:t>
            </w:r>
          </w:p>
        </w:tc>
        <w:tc>
          <w:tcPr>
            <w:tcW w:type="dxa" w:w="1247"/>
          </w:tcPr>
          <w:p>
            <w:pPr>
              <w:spacing w:after="0" w:line="240" w:lineRule="auto"/>
              <w:jc w:val="center"/>
            </w:pPr>
            <w:r/>
            <w:r>
              <w:rPr>
                <w:sz w:val="15"/>
              </w:rPr>
              <w:t>251,370 (92.1)</w:t>
            </w:r>
          </w:p>
        </w:tc>
        <w:tc>
          <w:tcPr>
            <w:tcW w:type="dxa" w:w="1247"/>
          </w:tcPr>
          <w:p>
            <w:pPr>
              <w:spacing w:after="0" w:line="240" w:lineRule="auto"/>
              <w:jc w:val="center"/>
            </w:pPr>
            <w:r/>
            <w:r>
              <w:rPr>
                <w:sz w:val="15"/>
              </w:rPr>
              <w:t>6,439 (89.6)</w:t>
            </w:r>
          </w:p>
        </w:tc>
        <w:tc>
          <w:tcPr>
            <w:tcW w:type="dxa" w:w="1247"/>
          </w:tcPr>
          <w:p>
            <w:pPr>
              <w:spacing w:after="0" w:line="240" w:lineRule="auto"/>
              <w:jc w:val="center"/>
            </w:pPr>
            <w:r/>
            <w:r>
              <w:rPr>
                <w:sz w:val="15"/>
              </w:rPr>
              <w:t>244,931 (92.1)</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HbA1c, mmol/mol</w:t>
            </w:r>
          </w:p>
        </w:tc>
        <w:tc>
          <w:tcPr>
            <w:tcW w:type="dxa" w:w="1247"/>
          </w:tcPr>
          <w:p>
            <w:pPr>
              <w:spacing w:after="0" w:line="240" w:lineRule="auto"/>
              <w:jc w:val="center"/>
            </w:pPr>
            <w:r/>
            <w:r>
              <w:rPr>
                <w:sz w:val="15"/>
              </w:rPr>
              <w:t>35.2 (32.8–37.9)</w:t>
            </w:r>
          </w:p>
        </w:tc>
        <w:tc>
          <w:tcPr>
            <w:tcW w:type="dxa" w:w="1247"/>
          </w:tcPr>
          <w:p>
            <w:pPr>
              <w:spacing w:after="0" w:line="240" w:lineRule="auto"/>
              <w:jc w:val="center"/>
            </w:pPr>
            <w:r/>
            <w:r>
              <w:rPr>
                <w:sz w:val="15"/>
              </w:rPr>
              <w:t>36.0 (33.3–38.9)</w:t>
            </w:r>
          </w:p>
        </w:tc>
        <w:tc>
          <w:tcPr>
            <w:tcW w:type="dxa" w:w="1247"/>
          </w:tcPr>
          <w:p>
            <w:pPr>
              <w:spacing w:after="0" w:line="240" w:lineRule="auto"/>
              <w:jc w:val="center"/>
            </w:pPr>
            <w:r/>
            <w:r>
              <w:rPr>
                <w:sz w:val="15"/>
              </w:rPr>
              <w:t>35.2 (32.7–37.9)</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35.2 (32.8–37.9)</w:t>
            </w:r>
          </w:p>
        </w:tc>
        <w:tc>
          <w:tcPr>
            <w:tcW w:type="dxa" w:w="1247"/>
          </w:tcPr>
          <w:p>
            <w:pPr>
              <w:spacing w:after="0" w:line="240" w:lineRule="auto"/>
              <w:jc w:val="center"/>
            </w:pPr>
            <w:r/>
            <w:r>
              <w:rPr>
                <w:sz w:val="15"/>
              </w:rPr>
              <w:t>36.1 (33.5–39.1)</w:t>
            </w:r>
          </w:p>
        </w:tc>
        <w:tc>
          <w:tcPr>
            <w:tcW w:type="dxa" w:w="1247"/>
          </w:tcPr>
          <w:p>
            <w:pPr>
              <w:spacing w:after="0" w:line="240" w:lineRule="auto"/>
              <w:jc w:val="center"/>
            </w:pPr>
            <w:r/>
            <w:r>
              <w:rPr>
                <w:sz w:val="15"/>
              </w:rPr>
              <w:t>35.2 (32.8–37.9)</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C-reactive protein, mg/L</w:t>
            </w:r>
          </w:p>
        </w:tc>
        <w:tc>
          <w:tcPr>
            <w:tcW w:type="dxa" w:w="1247"/>
          </w:tcPr>
          <w:p>
            <w:pPr>
              <w:spacing w:after="0" w:line="240" w:lineRule="auto"/>
              <w:jc w:val="center"/>
            </w:pPr>
            <w:r/>
            <w:r>
              <w:rPr>
                <w:sz w:val="15"/>
              </w:rPr>
              <w:t>1.33 (0.66–2.77)</w:t>
            </w:r>
          </w:p>
        </w:tc>
        <w:tc>
          <w:tcPr>
            <w:tcW w:type="dxa" w:w="1247"/>
          </w:tcPr>
          <w:p>
            <w:pPr>
              <w:spacing w:after="0" w:line="240" w:lineRule="auto"/>
              <w:jc w:val="center"/>
            </w:pPr>
            <w:r/>
            <w:r>
              <w:rPr>
                <w:sz w:val="15"/>
              </w:rPr>
              <w:t>1.57 (0.78–3.23)</w:t>
            </w:r>
          </w:p>
        </w:tc>
        <w:tc>
          <w:tcPr>
            <w:tcW w:type="dxa" w:w="1247"/>
          </w:tcPr>
          <w:p>
            <w:pPr>
              <w:spacing w:after="0" w:line="240" w:lineRule="auto"/>
              <w:jc w:val="center"/>
            </w:pPr>
            <w:r/>
            <w:r>
              <w:rPr>
                <w:sz w:val="15"/>
              </w:rPr>
              <w:t>1.32 (0.65–2.74)</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1.33 (0.66–2.77)</w:t>
            </w:r>
          </w:p>
        </w:tc>
        <w:tc>
          <w:tcPr>
            <w:tcW w:type="dxa" w:w="1247"/>
          </w:tcPr>
          <w:p>
            <w:pPr>
              <w:spacing w:after="0" w:line="240" w:lineRule="auto"/>
              <w:jc w:val="center"/>
            </w:pPr>
            <w:r/>
            <w:r>
              <w:rPr>
                <w:sz w:val="15"/>
              </w:rPr>
              <w:t>1.64 (0.81–3.31)</w:t>
            </w:r>
          </w:p>
        </w:tc>
        <w:tc>
          <w:tcPr>
            <w:tcW w:type="dxa" w:w="1247"/>
          </w:tcPr>
          <w:p>
            <w:pPr>
              <w:spacing w:after="0" w:line="240" w:lineRule="auto"/>
              <w:jc w:val="center"/>
            </w:pPr>
            <w:r/>
            <w:r>
              <w:rPr>
                <w:sz w:val="15"/>
              </w:rPr>
              <w:t>1.33 (0.66–2.76)</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Prior hospital diagnoses, number of ICD-10 codes</w:t>
            </w:r>
          </w:p>
        </w:tc>
        <w:tc>
          <w:tcPr>
            <w:tcW w:type="dxa" w:w="1247"/>
          </w:tcPr>
          <w:p>
            <w:pPr>
              <w:spacing w:after="0" w:line="240" w:lineRule="auto"/>
              <w:jc w:val="center"/>
            </w:pPr>
            <w:r/>
            <w:r>
              <w:rPr>
                <w:sz w:val="15"/>
              </w:rPr>
              <w:t>1 (0–4)</w:t>
            </w:r>
          </w:p>
        </w:tc>
        <w:tc>
          <w:tcPr>
            <w:tcW w:type="dxa" w:w="1247"/>
          </w:tcPr>
          <w:p>
            <w:pPr>
              <w:spacing w:after="0" w:line="240" w:lineRule="auto"/>
              <w:jc w:val="center"/>
            </w:pPr>
            <w:r/>
            <w:r>
              <w:rPr>
                <w:sz w:val="15"/>
              </w:rPr>
              <w:t>2 (0–6)</w:t>
            </w:r>
          </w:p>
        </w:tc>
        <w:tc>
          <w:tcPr>
            <w:tcW w:type="dxa" w:w="1247"/>
          </w:tcPr>
          <w:p>
            <w:pPr>
              <w:spacing w:after="0" w:line="240" w:lineRule="auto"/>
              <w:jc w:val="center"/>
            </w:pPr>
            <w:r/>
            <w:r>
              <w:rPr>
                <w:sz w:val="15"/>
              </w:rPr>
              <w:t>1 (0–4)</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 (0–4)</w:t>
            </w:r>
          </w:p>
        </w:tc>
        <w:tc>
          <w:tcPr>
            <w:tcW w:type="dxa" w:w="1247"/>
          </w:tcPr>
          <w:p>
            <w:pPr>
              <w:spacing w:after="0" w:line="240" w:lineRule="auto"/>
              <w:jc w:val="center"/>
            </w:pPr>
            <w:r/>
            <w:r>
              <w:rPr>
                <w:sz w:val="15"/>
              </w:rPr>
              <w:t>3 (1–7)</w:t>
            </w:r>
          </w:p>
        </w:tc>
        <w:tc>
          <w:tcPr>
            <w:tcW w:type="dxa" w:w="1247"/>
          </w:tcPr>
          <w:p>
            <w:pPr>
              <w:spacing w:after="0" w:line="240" w:lineRule="auto"/>
              <w:jc w:val="center"/>
            </w:pPr>
            <w:r/>
            <w:r>
              <w:rPr>
                <w:sz w:val="15"/>
              </w:rPr>
              <w:t>1 (0–4)</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Disorders of lipoprotein metabolism (E78), n (%)</w:t>
            </w:r>
          </w:p>
        </w:tc>
        <w:tc>
          <w:tcPr>
            <w:tcW w:type="dxa" w:w="1247"/>
          </w:tcPr>
          <w:p>
            <w:pPr>
              <w:spacing w:after="0" w:line="240" w:lineRule="auto"/>
              <w:jc w:val="center"/>
            </w:pPr>
            <w:r/>
            <w:r>
              <w:rPr>
                <w:sz w:val="15"/>
              </w:rPr>
              <w:t>9,423 (3.5)</w:t>
            </w:r>
          </w:p>
        </w:tc>
        <w:tc>
          <w:tcPr>
            <w:tcW w:type="dxa" w:w="1247"/>
          </w:tcPr>
          <w:p>
            <w:pPr>
              <w:spacing w:after="0" w:line="240" w:lineRule="auto"/>
              <w:jc w:val="center"/>
            </w:pPr>
            <w:r/>
            <w:r>
              <w:rPr>
                <w:sz w:val="15"/>
              </w:rPr>
              <w:t>980 (6.3)</w:t>
            </w:r>
          </w:p>
        </w:tc>
        <w:tc>
          <w:tcPr>
            <w:tcW w:type="dxa" w:w="1247"/>
          </w:tcPr>
          <w:p>
            <w:pPr>
              <w:spacing w:after="0" w:line="240" w:lineRule="auto"/>
              <w:jc w:val="center"/>
            </w:pPr>
            <w:r/>
            <w:r>
              <w:rPr>
                <w:sz w:val="15"/>
              </w:rPr>
              <w:t>8,443 (3.3)</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9,556 (3.5)</w:t>
            </w:r>
          </w:p>
        </w:tc>
        <w:tc>
          <w:tcPr>
            <w:tcW w:type="dxa" w:w="1247"/>
          </w:tcPr>
          <w:p>
            <w:pPr>
              <w:spacing w:after="0" w:line="240" w:lineRule="auto"/>
              <w:jc w:val="center"/>
            </w:pPr>
            <w:r/>
            <w:r>
              <w:rPr>
                <w:sz w:val="15"/>
              </w:rPr>
              <w:t>469 (6.5)</w:t>
            </w:r>
          </w:p>
        </w:tc>
        <w:tc>
          <w:tcPr>
            <w:tcW w:type="dxa" w:w="1247"/>
          </w:tcPr>
          <w:p>
            <w:pPr>
              <w:spacing w:after="0" w:line="240" w:lineRule="auto"/>
              <w:jc w:val="center"/>
            </w:pPr>
            <w:r/>
            <w:r>
              <w:rPr>
                <w:sz w:val="15"/>
              </w:rPr>
              <w:t>9,087 (3.4)</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Ischaemic heart disease (I20–I25), n (%)</w:t>
            </w:r>
          </w:p>
        </w:tc>
        <w:tc>
          <w:tcPr>
            <w:tcW w:type="dxa" w:w="1247"/>
          </w:tcPr>
          <w:p>
            <w:pPr>
              <w:spacing w:after="0" w:line="240" w:lineRule="auto"/>
              <w:jc w:val="center"/>
            </w:pPr>
            <w:r/>
            <w:r>
              <w:rPr>
                <w:sz w:val="15"/>
              </w:rPr>
              <w:t>11,183 (4.1)</w:t>
            </w:r>
          </w:p>
        </w:tc>
        <w:tc>
          <w:tcPr>
            <w:tcW w:type="dxa" w:w="1247"/>
          </w:tcPr>
          <w:p>
            <w:pPr>
              <w:spacing w:after="0" w:line="240" w:lineRule="auto"/>
              <w:jc w:val="center"/>
            </w:pPr>
            <w:r/>
            <w:r>
              <w:rPr>
                <w:sz w:val="15"/>
              </w:rPr>
              <w:t>1,056 (6.7)</w:t>
            </w:r>
          </w:p>
        </w:tc>
        <w:tc>
          <w:tcPr>
            <w:tcW w:type="dxa" w:w="1247"/>
          </w:tcPr>
          <w:p>
            <w:pPr>
              <w:spacing w:after="0" w:line="240" w:lineRule="auto"/>
              <w:jc w:val="center"/>
            </w:pPr>
            <w:r/>
            <w:r>
              <w:rPr>
                <w:sz w:val="15"/>
              </w:rPr>
              <w:t>10,127 (3.9)</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11,319 (4.1)</w:t>
            </w:r>
          </w:p>
        </w:tc>
        <w:tc>
          <w:tcPr>
            <w:tcW w:type="dxa" w:w="1247"/>
          </w:tcPr>
          <w:p>
            <w:pPr>
              <w:spacing w:after="0" w:line="240" w:lineRule="auto"/>
              <w:jc w:val="center"/>
            </w:pPr>
            <w:r/>
            <w:r>
              <w:rPr>
                <w:sz w:val="15"/>
              </w:rPr>
              <w:t>490 (6.8)</w:t>
            </w:r>
          </w:p>
        </w:tc>
        <w:tc>
          <w:tcPr>
            <w:tcW w:type="dxa" w:w="1247"/>
          </w:tcPr>
          <w:p>
            <w:pPr>
              <w:spacing w:after="0" w:line="240" w:lineRule="auto"/>
              <w:jc w:val="center"/>
            </w:pPr>
            <w:r/>
            <w:r>
              <w:rPr>
                <w:sz w:val="15"/>
              </w:rPr>
              <w:t>10,829 (4.1)</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Hypertension (I10–I15), n (%)</w:t>
            </w:r>
          </w:p>
        </w:tc>
        <w:tc>
          <w:tcPr>
            <w:tcW w:type="dxa" w:w="1247"/>
          </w:tcPr>
          <w:p>
            <w:pPr>
              <w:spacing w:after="0" w:line="240" w:lineRule="auto"/>
              <w:jc w:val="center"/>
            </w:pPr>
            <w:r/>
            <w:r>
              <w:rPr>
                <w:sz w:val="15"/>
              </w:rPr>
              <w:t>21,526 (7.9)</w:t>
            </w:r>
          </w:p>
        </w:tc>
        <w:tc>
          <w:tcPr>
            <w:tcW w:type="dxa" w:w="1247"/>
          </w:tcPr>
          <w:p>
            <w:pPr>
              <w:spacing w:after="0" w:line="240" w:lineRule="auto"/>
              <w:jc w:val="center"/>
            </w:pPr>
            <w:r/>
            <w:r>
              <w:rPr>
                <w:sz w:val="15"/>
              </w:rPr>
              <w:t>2,053 (13.1)</w:t>
            </w:r>
          </w:p>
        </w:tc>
        <w:tc>
          <w:tcPr>
            <w:tcW w:type="dxa" w:w="1247"/>
          </w:tcPr>
          <w:p>
            <w:pPr>
              <w:spacing w:after="0" w:line="240" w:lineRule="auto"/>
              <w:jc w:val="center"/>
            </w:pPr>
            <w:r/>
            <w:r>
              <w:rPr>
                <w:sz w:val="15"/>
              </w:rPr>
              <w:t>19,473 (7.6)</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21,791 (8.0)</w:t>
            </w:r>
          </w:p>
        </w:tc>
        <w:tc>
          <w:tcPr>
            <w:tcW w:type="dxa" w:w="1247"/>
          </w:tcPr>
          <w:p>
            <w:pPr>
              <w:spacing w:after="0" w:line="240" w:lineRule="auto"/>
              <w:jc w:val="center"/>
            </w:pPr>
            <w:r/>
            <w:r>
              <w:rPr>
                <w:sz w:val="15"/>
              </w:rPr>
              <w:t>1,101 (15.3)</w:t>
            </w:r>
          </w:p>
        </w:tc>
        <w:tc>
          <w:tcPr>
            <w:tcW w:type="dxa" w:w="1247"/>
          </w:tcPr>
          <w:p>
            <w:pPr>
              <w:spacing w:after="0" w:line="240" w:lineRule="auto"/>
              <w:jc w:val="center"/>
            </w:pPr>
            <w:r/>
            <w:r>
              <w:rPr>
                <w:sz w:val="15"/>
              </w:rPr>
              <w:t>20,690 (7.8)</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Diabetes (E10–E14), n (%)</w:t>
            </w:r>
          </w:p>
        </w:tc>
        <w:tc>
          <w:tcPr>
            <w:tcW w:type="dxa" w:w="1247"/>
          </w:tcPr>
          <w:p>
            <w:pPr>
              <w:spacing w:after="0" w:line="240" w:lineRule="auto"/>
              <w:jc w:val="center"/>
            </w:pPr>
            <w:r/>
            <w:r>
              <w:rPr>
                <w:sz w:val="15"/>
              </w:rPr>
              <w:t>5,996 (2.2)</w:t>
            </w:r>
          </w:p>
        </w:tc>
        <w:tc>
          <w:tcPr>
            <w:tcW w:type="dxa" w:w="1247"/>
          </w:tcPr>
          <w:p>
            <w:pPr>
              <w:spacing w:after="0" w:line="240" w:lineRule="auto"/>
              <w:jc w:val="center"/>
            </w:pPr>
            <w:r/>
            <w:r>
              <w:rPr>
                <w:sz w:val="15"/>
              </w:rPr>
              <w:t>646 (4.1)</w:t>
            </w:r>
          </w:p>
        </w:tc>
        <w:tc>
          <w:tcPr>
            <w:tcW w:type="dxa" w:w="1247"/>
          </w:tcPr>
          <w:p>
            <w:pPr>
              <w:spacing w:after="0" w:line="240" w:lineRule="auto"/>
              <w:jc w:val="center"/>
            </w:pPr>
            <w:r/>
            <w:r>
              <w:rPr>
                <w:sz w:val="15"/>
              </w:rPr>
              <w:t>5,350 (2.1)</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6,080 (2.2)</w:t>
            </w:r>
          </w:p>
        </w:tc>
        <w:tc>
          <w:tcPr>
            <w:tcW w:type="dxa" w:w="1247"/>
          </w:tcPr>
          <w:p>
            <w:pPr>
              <w:spacing w:after="0" w:line="240" w:lineRule="auto"/>
              <w:jc w:val="center"/>
            </w:pPr>
            <w:r/>
            <w:r>
              <w:rPr>
                <w:sz w:val="15"/>
              </w:rPr>
              <w:t>328 (4.5)</w:t>
            </w:r>
          </w:p>
        </w:tc>
        <w:tc>
          <w:tcPr>
            <w:tcW w:type="dxa" w:w="1247"/>
          </w:tcPr>
          <w:p>
            <w:pPr>
              <w:spacing w:after="0" w:line="240" w:lineRule="auto"/>
              <w:jc w:val="center"/>
            </w:pPr>
            <w:r/>
            <w:r>
              <w:rPr>
                <w:sz w:val="15"/>
              </w:rPr>
              <w:t>5,752 (2.2)</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Total triglycerides, mmol/L</w:t>
            </w:r>
          </w:p>
        </w:tc>
        <w:tc>
          <w:tcPr>
            <w:tcW w:type="dxa" w:w="1247"/>
          </w:tcPr>
          <w:p>
            <w:pPr>
              <w:spacing w:after="0" w:line="240" w:lineRule="auto"/>
              <w:jc w:val="center"/>
            </w:pPr>
            <w:r/>
            <w:r>
              <w:rPr>
                <w:sz w:val="15"/>
              </w:rPr>
              <w:t>1.20 (0.88–1.64)</w:t>
            </w:r>
          </w:p>
        </w:tc>
        <w:tc>
          <w:tcPr>
            <w:tcW w:type="dxa" w:w="1247"/>
          </w:tcPr>
          <w:p>
            <w:pPr>
              <w:spacing w:after="0" w:line="240" w:lineRule="auto"/>
              <w:jc w:val="center"/>
            </w:pPr>
            <w:r/>
            <w:r>
              <w:rPr>
                <w:sz w:val="15"/>
              </w:rPr>
              <w:t>1.30 (0.95–1.75)</w:t>
            </w:r>
          </w:p>
        </w:tc>
        <w:tc>
          <w:tcPr>
            <w:tcW w:type="dxa" w:w="1247"/>
          </w:tcPr>
          <w:p>
            <w:pPr>
              <w:spacing w:after="0" w:line="240" w:lineRule="auto"/>
              <w:jc w:val="center"/>
            </w:pPr>
            <w:r/>
            <w:r>
              <w:rPr>
                <w:sz w:val="15"/>
              </w:rPr>
              <w:t>1.20 (0.88–1.63)</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1.20 (0.88–1.64)</w:t>
            </w:r>
          </w:p>
        </w:tc>
        <w:tc>
          <w:tcPr>
            <w:tcW w:type="dxa" w:w="1247"/>
          </w:tcPr>
          <w:p>
            <w:pPr>
              <w:spacing w:after="0" w:line="240" w:lineRule="auto"/>
              <w:jc w:val="center"/>
            </w:pPr>
            <w:r/>
            <w:r>
              <w:rPr>
                <w:sz w:val="15"/>
              </w:rPr>
              <w:t>1.29 (0.95–1.72)</w:t>
            </w:r>
          </w:p>
        </w:tc>
        <w:tc>
          <w:tcPr>
            <w:tcW w:type="dxa" w:w="1247"/>
          </w:tcPr>
          <w:p>
            <w:pPr>
              <w:spacing w:after="0" w:line="240" w:lineRule="auto"/>
              <w:jc w:val="center"/>
            </w:pPr>
            <w:r/>
            <w:r>
              <w:rPr>
                <w:sz w:val="15"/>
              </w:rPr>
              <w:t>1.20 (0.88–1.64)</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HDL cholesterol, mmol/L</w:t>
            </w:r>
          </w:p>
        </w:tc>
        <w:tc>
          <w:tcPr>
            <w:tcW w:type="dxa" w:w="1247"/>
          </w:tcPr>
          <w:p>
            <w:pPr>
              <w:spacing w:after="0" w:line="240" w:lineRule="auto"/>
              <w:jc w:val="center"/>
            </w:pPr>
            <w:r/>
            <w:r>
              <w:rPr>
                <w:sz w:val="15"/>
              </w:rPr>
              <w:t>1.33 (0.33)</w:t>
            </w:r>
          </w:p>
        </w:tc>
        <w:tc>
          <w:tcPr>
            <w:tcW w:type="dxa" w:w="1247"/>
          </w:tcPr>
          <w:p>
            <w:pPr>
              <w:spacing w:after="0" w:line="240" w:lineRule="auto"/>
              <w:jc w:val="center"/>
            </w:pPr>
            <w:r/>
            <w:r>
              <w:rPr>
                <w:sz w:val="15"/>
              </w:rPr>
              <w:t>1.28 (0.32)</w:t>
            </w:r>
          </w:p>
        </w:tc>
        <w:tc>
          <w:tcPr>
            <w:tcW w:type="dxa" w:w="1247"/>
          </w:tcPr>
          <w:p>
            <w:pPr>
              <w:spacing w:after="0" w:line="240" w:lineRule="auto"/>
              <w:jc w:val="center"/>
            </w:pPr>
            <w:r/>
            <w:r>
              <w:rPr>
                <w:sz w:val="15"/>
              </w:rPr>
              <w:t>1.33 (0.33)</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1.33 (0.33)</w:t>
            </w:r>
          </w:p>
        </w:tc>
        <w:tc>
          <w:tcPr>
            <w:tcW w:type="dxa" w:w="1247"/>
          </w:tcPr>
          <w:p>
            <w:pPr>
              <w:spacing w:after="0" w:line="240" w:lineRule="auto"/>
              <w:jc w:val="center"/>
            </w:pPr>
            <w:r/>
            <w:r>
              <w:rPr>
                <w:sz w:val="15"/>
              </w:rPr>
              <w:t>1.29 (0.31)</w:t>
            </w:r>
          </w:p>
        </w:tc>
        <w:tc>
          <w:tcPr>
            <w:tcW w:type="dxa" w:w="1247"/>
          </w:tcPr>
          <w:p>
            <w:pPr>
              <w:spacing w:after="0" w:line="240" w:lineRule="auto"/>
              <w:jc w:val="center"/>
            </w:pPr>
            <w:r/>
            <w:r>
              <w:rPr>
                <w:sz w:val="15"/>
              </w:rPr>
              <w:t>1.33 (0.33)</w:t>
            </w:r>
          </w:p>
        </w:tc>
        <w:tc>
          <w:tcPr>
            <w:tcW w:type="dxa" w:w="737"/>
          </w:tcPr>
          <w:p>
            <w:pPr>
              <w:spacing w:after="0" w:line="240" w:lineRule="auto"/>
              <w:jc w:val="center"/>
            </w:pPr>
            <w:r/>
            <w:r>
              <w:rPr>
                <w:sz w:val="15"/>
              </w:rPr>
              <w:t>&lt;0.001</w:t>
            </w:r>
          </w:p>
        </w:tc>
      </w:tr>
      <w:tr>
        <w:tc>
          <w:tcPr>
            <w:tcW w:type="dxa" w:w="3515"/>
          </w:tcPr>
          <w:p>
            <w:pPr>
              <w:spacing w:after="0" w:line="240" w:lineRule="auto"/>
            </w:pPr>
            <w:r/>
            <w:r>
              <w:rPr>
                <w:sz w:val="15"/>
              </w:rPr>
              <w:t>LDL cholesterol, mmol/L</w:t>
            </w:r>
          </w:p>
        </w:tc>
        <w:tc>
          <w:tcPr>
            <w:tcW w:type="dxa" w:w="1247"/>
          </w:tcPr>
          <w:p>
            <w:pPr>
              <w:spacing w:after="0" w:line="240" w:lineRule="auto"/>
              <w:jc w:val="center"/>
            </w:pPr>
            <w:r/>
            <w:r>
              <w:rPr>
                <w:sz w:val="15"/>
              </w:rPr>
              <w:t>1.75 (0.44)</w:t>
            </w:r>
          </w:p>
        </w:tc>
        <w:tc>
          <w:tcPr>
            <w:tcW w:type="dxa" w:w="1247"/>
          </w:tcPr>
          <w:p>
            <w:pPr>
              <w:spacing w:after="0" w:line="240" w:lineRule="auto"/>
              <w:jc w:val="center"/>
            </w:pPr>
            <w:r/>
            <w:r>
              <w:rPr>
                <w:sz w:val="15"/>
              </w:rPr>
              <w:t>1.72 (0.45)</w:t>
            </w:r>
          </w:p>
        </w:tc>
        <w:tc>
          <w:tcPr>
            <w:tcW w:type="dxa" w:w="1247"/>
          </w:tcPr>
          <w:p>
            <w:pPr>
              <w:spacing w:after="0" w:line="240" w:lineRule="auto"/>
              <w:jc w:val="center"/>
            </w:pPr>
            <w:r/>
            <w:r>
              <w:rPr>
                <w:sz w:val="15"/>
              </w:rPr>
              <w:t>1.75 (0.44)</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1.75 (0.44)</w:t>
            </w:r>
          </w:p>
        </w:tc>
        <w:tc>
          <w:tcPr>
            <w:tcW w:type="dxa" w:w="1247"/>
          </w:tcPr>
          <w:p>
            <w:pPr>
              <w:spacing w:after="0" w:line="240" w:lineRule="auto"/>
              <w:jc w:val="center"/>
            </w:pPr>
            <w:r/>
            <w:r>
              <w:rPr>
                <w:sz w:val="15"/>
              </w:rPr>
              <w:t>1.73 (0.45)</w:t>
            </w:r>
          </w:p>
        </w:tc>
        <w:tc>
          <w:tcPr>
            <w:tcW w:type="dxa" w:w="1247"/>
          </w:tcPr>
          <w:p>
            <w:pPr>
              <w:spacing w:after="0" w:line="240" w:lineRule="auto"/>
              <w:jc w:val="center"/>
            </w:pPr>
            <w:r/>
            <w:r>
              <w:rPr>
                <w:sz w:val="15"/>
              </w:rPr>
              <w:t>1.75 (0.44)</w:t>
            </w:r>
          </w:p>
        </w:tc>
        <w:tc>
          <w:tcPr>
            <w:tcW w:type="dxa" w:w="737"/>
          </w:tcPr>
          <w:p>
            <w:pPr>
              <w:spacing w:after="0" w:line="240" w:lineRule="auto"/>
              <w:jc w:val="center"/>
            </w:pPr>
            <w:r/>
            <w:r>
              <w:rPr>
                <w:sz w:val="15"/>
              </w:rPr>
              <w:t>0.010</w:t>
            </w:r>
          </w:p>
        </w:tc>
      </w:tr>
      <w:tr>
        <w:tc>
          <w:tcPr>
            <w:tcW w:type="dxa" w:w="3515"/>
          </w:tcPr>
          <w:p>
            <w:pPr>
              <w:spacing w:after="0" w:line="240" w:lineRule="auto"/>
            </w:pPr>
            <w:r/>
            <w:r>
              <w:rPr>
                <w:sz w:val="15"/>
              </w:rPr>
              <w:t>Glycoprotein acetyls, mmol/L</w:t>
            </w:r>
          </w:p>
        </w:tc>
        <w:tc>
          <w:tcPr>
            <w:tcW w:type="dxa" w:w="1247"/>
          </w:tcPr>
          <w:p>
            <w:pPr>
              <w:spacing w:after="0" w:line="240" w:lineRule="auto"/>
              <w:jc w:val="center"/>
            </w:pPr>
            <w:r/>
            <w:r>
              <w:rPr>
                <w:sz w:val="15"/>
              </w:rPr>
              <w:t>0.80 (0.73–0.89)</w:t>
            </w:r>
          </w:p>
        </w:tc>
        <w:tc>
          <w:tcPr>
            <w:tcW w:type="dxa" w:w="1247"/>
          </w:tcPr>
          <w:p>
            <w:pPr>
              <w:spacing w:after="0" w:line="240" w:lineRule="auto"/>
              <w:jc w:val="center"/>
            </w:pPr>
            <w:r/>
            <w:r>
              <w:rPr>
                <w:sz w:val="15"/>
              </w:rPr>
              <w:t>0.82 (0.75–0.90)</w:t>
            </w:r>
          </w:p>
        </w:tc>
        <w:tc>
          <w:tcPr>
            <w:tcW w:type="dxa" w:w="1247"/>
          </w:tcPr>
          <w:p>
            <w:pPr>
              <w:spacing w:after="0" w:line="240" w:lineRule="auto"/>
              <w:jc w:val="center"/>
            </w:pPr>
            <w:r/>
            <w:r>
              <w:rPr>
                <w:sz w:val="15"/>
              </w:rPr>
              <w:t>0.80 (0.73–0.88)</w:t>
            </w:r>
          </w:p>
        </w:tc>
        <w:tc>
          <w:tcPr>
            <w:tcW w:type="dxa" w:w="737"/>
          </w:tcPr>
          <w:p>
            <w:pPr>
              <w:spacing w:after="0" w:line="240" w:lineRule="auto"/>
              <w:jc w:val="center"/>
            </w:pPr>
            <w:r/>
            <w:r>
              <w:rPr>
                <w:sz w:val="15"/>
              </w:rPr>
              <w:t>&lt;0.001</w:t>
            </w:r>
          </w:p>
        </w:tc>
        <w:tc>
          <w:tcPr>
            <w:tcW w:type="dxa" w:w="1247"/>
          </w:tcPr>
          <w:p>
            <w:pPr>
              <w:spacing w:after="0" w:line="240" w:lineRule="auto"/>
              <w:jc w:val="center"/>
            </w:pPr>
            <w:r/>
            <w:r>
              <w:rPr>
                <w:sz w:val="15"/>
              </w:rPr>
              <w:t>0.80 (0.73–0.89)</w:t>
            </w:r>
          </w:p>
        </w:tc>
        <w:tc>
          <w:tcPr>
            <w:tcW w:type="dxa" w:w="1247"/>
          </w:tcPr>
          <w:p>
            <w:pPr>
              <w:spacing w:after="0" w:line="240" w:lineRule="auto"/>
              <w:jc w:val="center"/>
            </w:pPr>
            <w:r/>
            <w:r>
              <w:rPr>
                <w:sz w:val="15"/>
              </w:rPr>
              <w:t>0.83 (0.75–0.91)</w:t>
            </w:r>
          </w:p>
        </w:tc>
        <w:tc>
          <w:tcPr>
            <w:tcW w:type="dxa" w:w="1247"/>
          </w:tcPr>
          <w:p>
            <w:pPr>
              <w:spacing w:after="0" w:line="240" w:lineRule="auto"/>
              <w:jc w:val="center"/>
            </w:pPr>
            <w:r/>
            <w:r>
              <w:rPr>
                <w:sz w:val="15"/>
              </w:rPr>
              <w:t>0.80 (0.73–0.88)</w:t>
            </w:r>
          </w:p>
        </w:tc>
        <w:tc>
          <w:tcPr>
            <w:tcW w:type="dxa" w:w="737"/>
          </w:tcPr>
          <w:p>
            <w:pPr>
              <w:spacing w:after="0" w:line="240" w:lineRule="auto"/>
              <w:jc w:val="center"/>
            </w:pPr>
            <w:r/>
            <w:r>
              <w:rPr>
                <w:sz w:val="15"/>
              </w:rPr>
              <w:t>&lt;0.001</w:t>
            </w:r>
          </w:p>
        </w:tc>
      </w:tr>
      <w:tr>
        <w:tc>
          <w:tcPr>
            <w:tcW w:type="dxa" w:w="3515"/>
            <w:tcBorders>
              <w:bottom w:val="single" w:sz="12" w:space="0" w:color="000000"/>
            </w:tcBorders>
          </w:tcPr>
          <w:p>
            <w:pPr>
              <w:spacing w:after="0" w:line="240" w:lineRule="auto"/>
            </w:pPr>
            <w:r/>
            <w:r>
              <w:rPr>
                <w:sz w:val="15"/>
              </w:rPr>
              <w:t>Follow-up, years</w:t>
            </w:r>
          </w:p>
        </w:tc>
        <w:tc>
          <w:tcPr>
            <w:tcW w:type="dxa" w:w="1247"/>
            <w:tcBorders>
              <w:bottom w:val="single" w:sz="12" w:space="0" w:color="000000"/>
            </w:tcBorders>
          </w:tcPr>
          <w:p>
            <w:pPr>
              <w:spacing w:after="0" w:line="240" w:lineRule="auto"/>
              <w:jc w:val="center"/>
            </w:pPr>
            <w:r/>
            <w:r>
              <w:rPr>
                <w:sz w:val="15"/>
              </w:rPr>
              <w:t>13.6 (12.7–14.4)</w:t>
            </w:r>
          </w:p>
        </w:tc>
        <w:tc>
          <w:tcPr>
            <w:tcW w:type="dxa" w:w="1247"/>
            <w:tcBorders>
              <w:bottom w:val="single" w:sz="12" w:space="0" w:color="000000"/>
            </w:tcBorders>
          </w:tcPr>
          <w:p>
            <w:pPr>
              <w:spacing w:after="0" w:line="240" w:lineRule="auto"/>
              <w:jc w:val="center"/>
            </w:pPr>
            <w:r/>
            <w:r>
              <w:rPr>
                <w:sz w:val="15"/>
              </w:rPr>
              <w:t>8.1 (4.6–10.9)</w:t>
            </w:r>
          </w:p>
        </w:tc>
        <w:tc>
          <w:tcPr>
            <w:tcW w:type="dxa" w:w="1247"/>
            <w:tcBorders>
              <w:bottom w:val="single" w:sz="12" w:space="0" w:color="000000"/>
            </w:tcBorders>
          </w:tcPr>
          <w:p>
            <w:pPr>
              <w:spacing w:after="0" w:line="240" w:lineRule="auto"/>
              <w:jc w:val="center"/>
            </w:pPr>
            <w:r/>
            <w:r>
              <w:rPr>
                <w:sz w:val="15"/>
              </w:rPr>
              <w:t>13.7 (12.9–14.4)</w:t>
            </w:r>
          </w:p>
        </w:tc>
        <w:tc>
          <w:tcPr>
            <w:tcW w:type="dxa" w:w="737"/>
            <w:tcBorders>
              <w:bottom w:val="single" w:sz="12" w:space="0" w:color="000000"/>
            </w:tcBorders>
          </w:tcPr>
          <w:p>
            <w:pPr>
              <w:spacing w:after="0" w:line="240" w:lineRule="auto"/>
              <w:jc w:val="center"/>
            </w:pPr>
            <w:r/>
            <w:r>
              <w:rPr>
                <w:sz w:val="15"/>
              </w:rPr>
              <w:t>&lt;0.001</w:t>
            </w:r>
          </w:p>
        </w:tc>
        <w:tc>
          <w:tcPr>
            <w:tcW w:type="dxa" w:w="1247"/>
            <w:tcBorders>
              <w:bottom w:val="single" w:sz="12" w:space="0" w:color="000000"/>
            </w:tcBorders>
          </w:tcPr>
          <w:p>
            <w:pPr>
              <w:spacing w:after="0" w:line="240" w:lineRule="auto"/>
              <w:jc w:val="center"/>
            </w:pPr>
            <w:r/>
            <w:r>
              <w:rPr>
                <w:sz w:val="15"/>
              </w:rPr>
              <w:t>13.7 (12.9–14.4)</w:t>
            </w:r>
          </w:p>
        </w:tc>
        <w:tc>
          <w:tcPr>
            <w:tcW w:type="dxa" w:w="1247"/>
            <w:tcBorders>
              <w:bottom w:val="single" w:sz="12" w:space="0" w:color="000000"/>
            </w:tcBorders>
          </w:tcPr>
          <w:p>
            <w:pPr>
              <w:spacing w:after="0" w:line="240" w:lineRule="auto"/>
              <w:jc w:val="center"/>
            </w:pPr>
            <w:r/>
            <w:r>
              <w:rPr>
                <w:sz w:val="15"/>
              </w:rPr>
              <w:t>8.3 (5.3–11.1)</w:t>
            </w:r>
          </w:p>
        </w:tc>
        <w:tc>
          <w:tcPr>
            <w:tcW w:type="dxa" w:w="1247"/>
            <w:tcBorders>
              <w:bottom w:val="single" w:sz="12" w:space="0" w:color="000000"/>
            </w:tcBorders>
          </w:tcPr>
          <w:p>
            <w:pPr>
              <w:spacing w:after="0" w:line="240" w:lineRule="auto"/>
              <w:jc w:val="center"/>
            </w:pPr>
            <w:r/>
            <w:r>
              <w:rPr>
                <w:sz w:val="15"/>
              </w:rPr>
              <w:t>13.7 (12.9–14.4)</w:t>
            </w:r>
          </w:p>
        </w:tc>
        <w:tc>
          <w:tcPr>
            <w:tcW w:type="dxa" w:w="737"/>
            <w:tcBorders>
              <w:bottom w:val="single" w:sz="12" w:space="0" w:color="000000"/>
            </w:tcBorders>
          </w:tcPr>
          <w:p>
            <w:pPr>
              <w:spacing w:after="0" w:line="240" w:lineRule="auto"/>
              <w:jc w:val="center"/>
            </w:pPr>
            <w:r/>
            <w:r>
              <w:rPr>
                <w:sz w:val="15"/>
              </w:rPr>
              <w:t>&lt;0.001</w:t>
            </w:r>
          </w:p>
        </w:tc>
      </w:tr>
    </w:tbl>
    <w:p>
      <w:pPr>
        <w:spacing w:line="276" w:lineRule="auto"/>
      </w:pPr>
      <w:r>
        <w:rPr>
          <w:sz w:val="16"/>
        </w:rPr>
        <w:t>Values are mean (standard deviation), median (interquartile range) or n (%); percentages exclude missing values. Participants with the outcome before baseline were excluded from the corresponding cohort. P values compare participants with and without incident polyp (Welch t test, Mann–Whitney test or chi-squared test). Prior hospital diagnoses are those recorded before baseline. Metabolite concentrations are NMR measurements.</w:t>
      </w:r>
    </w:p>
    <w:p>
      <w:r>
        <w:br w:type="page"/>
      </w:r>
    </w:p>
    <w:p>
      <w:pPr>
        <w:spacing w:line="276" w:lineRule="auto"/>
      </w:pPr>
      <w:r>
        <w:rPr>
          <w:b/>
          <w:sz w:val="20"/>
        </w:rPr>
        <w:t>Table 2.</w:t>
      </w:r>
      <w:r>
        <w:rPr>
          <w:sz w:val="20"/>
        </w:rPr>
        <w:t xml:space="preserve"> Associations of key metabolites with incident colon polyp and stomach/duodenal polyp across adjustment models (hazard ratio per 1 SD, 95% CI)</w:t>
      </w:r>
    </w:p>
    <w:tbl>
      <w:tblPr>
        <w:tblW w:type="auto" w:w="0"/>
        <w:jc w:val="center"/>
        <w:tblLayout w:type="fixed"/>
        <w:tblLook w:firstColumn="1" w:firstRow="1" w:lastColumn="0" w:lastRow="0" w:noHBand="0" w:noVBand="1" w:val="04A0"/>
      </w:tblPr>
      <w:tblGrid>
        <w:gridCol w:w="1533"/>
        <w:gridCol w:w="1533"/>
        <w:gridCol w:w="1533"/>
        <w:gridCol w:w="1533"/>
        <w:gridCol w:w="1533"/>
        <w:gridCol w:w="1533"/>
        <w:gridCol w:w="1533"/>
        <w:gridCol w:w="1533"/>
        <w:gridCol w:w="1533"/>
      </w:tblGrid>
      <w:tr>
        <w:tc>
          <w:tcPr>
            <w:tcW w:type="dxa" w:w="3402"/>
            <w:tcBorders>
              <w:top w:val="single" w:sz="12" w:space="0" w:color="000000"/>
            </w:tcBorders>
          </w:tcPr>
          <w:p>
            <w:pPr>
              <w:spacing w:after="0" w:line="240" w:lineRule="auto"/>
              <w:jc w:val="center"/>
            </w:pPr>
            <w:r>
              <w:rPr>
                <w:b/>
              </w:rPr>
            </w:r>
            <w:r>
              <w:rPr>
                <w:b/>
                <w:sz w:val="15"/>
              </w:rPr>
              <w:t>Metabolite</w:t>
            </w:r>
          </w:p>
        </w:tc>
        <w:tc>
          <w:tcPr>
            <w:tcW w:type="dxa" w:w="5668"/>
            <w:gridSpan w:val="4"/>
            <w:tcBorders>
              <w:top w:val="single" w:sz="12" w:space="0" w:color="000000"/>
            </w:tcBorders>
          </w:tcPr>
          <w:p>
            <w:pPr>
              <w:spacing w:after="0" w:line="240" w:lineRule="auto"/>
              <w:jc w:val="center"/>
            </w:pPr>
            <w:r>
              <w:rPr>
                <w:b/>
              </w:rPr>
            </w:r>
            <w:r>
              <w:rPr>
                <w:b/>
                <w:sz w:val="15"/>
              </w:rPr>
              <w:t>Colon polyp (K63.5)</w:t>
            </w:r>
          </w:p>
          <w:p>
            <w:pPr>
              <w:spacing w:after="0" w:line="240" w:lineRule="auto"/>
              <w:jc w:val="center"/>
            </w:pPr>
            <w:r>
              <w:rPr>
                <w:b/>
              </w:rPr>
            </w:r>
          </w:p>
          <w:p>
            <w:pPr>
              <w:spacing w:after="0" w:line="240" w:lineRule="auto"/>
              <w:jc w:val="center"/>
            </w:pPr>
            <w:r>
              <w:rPr>
                <w:b/>
              </w:rPr>
            </w:r>
          </w:p>
          <w:p>
            <w:pPr>
              <w:spacing w:after="0" w:line="240" w:lineRule="auto"/>
              <w:jc w:val="center"/>
            </w:pPr>
            <w:r>
              <w:rPr>
                <w:b/>
              </w:rPr>
            </w:r>
          </w:p>
        </w:tc>
        <w:tc>
          <w:tcPr>
            <w:tcW w:type="dxa" w:w="5668"/>
            <w:gridSpan w:val="4"/>
            <w:tcBorders>
              <w:top w:val="single" w:sz="12" w:space="0" w:color="000000"/>
            </w:tcBorders>
          </w:tcPr>
          <w:p>
            <w:pPr>
              <w:spacing w:after="0" w:line="240" w:lineRule="auto"/>
              <w:jc w:val="center"/>
            </w:pPr>
            <w:r>
              <w:rPr>
                <w:b/>
              </w:rPr>
            </w:r>
            <w:r>
              <w:rPr>
                <w:b/>
                <w:sz w:val="15"/>
              </w:rPr>
              <w:t>Stomach/duodenal polyp (K31.7)</w:t>
            </w:r>
          </w:p>
          <w:p>
            <w:pPr>
              <w:spacing w:after="0" w:line="240" w:lineRule="auto"/>
              <w:jc w:val="center"/>
            </w:pPr>
            <w:r>
              <w:rPr>
                <w:b/>
              </w:rPr>
            </w:r>
          </w:p>
          <w:p>
            <w:pPr>
              <w:spacing w:after="0" w:line="240" w:lineRule="auto"/>
              <w:jc w:val="center"/>
            </w:pPr>
            <w:r>
              <w:rPr>
                <w:b/>
              </w:rPr>
            </w:r>
          </w:p>
          <w:p>
            <w:pPr>
              <w:spacing w:after="0" w:line="240" w:lineRule="auto"/>
              <w:jc w:val="center"/>
            </w:pPr>
            <w:r>
              <w:rPr>
                <w:b/>
              </w:rPr>
            </w:r>
          </w:p>
        </w:tc>
      </w:tr>
      <w:tr>
        <w:tc>
          <w:tcPr>
            <w:tcW w:type="dxa" w:w="3402"/>
            <w:tcBorders>
              <w:bottom w:val="single" w:sz="6" w:space="0" w:color="000000"/>
            </w:tcBorders>
          </w:tcPr>
          <w:p>
            <w:pPr>
              <w:spacing w:after="0" w:line="240" w:lineRule="auto"/>
              <w:jc w:val="center"/>
            </w:pPr>
            <w:r>
              <w:rPr>
                <w:b/>
              </w:rPr>
            </w:r>
          </w:p>
        </w:tc>
        <w:tc>
          <w:tcPr>
            <w:tcW w:type="dxa" w:w="1417"/>
            <w:tcBorders>
              <w:bottom w:val="single" w:sz="6" w:space="0" w:color="000000"/>
            </w:tcBorders>
          </w:tcPr>
          <w:p>
            <w:pPr>
              <w:spacing w:after="0" w:line="240" w:lineRule="auto"/>
              <w:jc w:val="center"/>
            </w:pPr>
            <w:r>
              <w:rPr>
                <w:b/>
              </w:rPr>
            </w:r>
            <w:r>
              <w:rPr>
                <w:b/>
                <w:sz w:val="15"/>
              </w:rPr>
              <w:t>Model 1</w:t>
            </w:r>
          </w:p>
        </w:tc>
        <w:tc>
          <w:tcPr>
            <w:tcW w:type="dxa" w:w="1417"/>
            <w:tcBorders>
              <w:bottom w:val="single" w:sz="6" w:space="0" w:color="000000"/>
            </w:tcBorders>
          </w:tcPr>
          <w:p>
            <w:pPr>
              <w:spacing w:after="0" w:line="240" w:lineRule="auto"/>
              <w:jc w:val="center"/>
            </w:pPr>
            <w:r>
              <w:rPr>
                <w:b/>
              </w:rPr>
            </w:r>
            <w:r>
              <w:rPr>
                <w:b/>
                <w:sz w:val="15"/>
              </w:rPr>
              <w:t>Model 2</w:t>
            </w:r>
          </w:p>
        </w:tc>
        <w:tc>
          <w:tcPr>
            <w:tcW w:type="dxa" w:w="1417"/>
            <w:tcBorders>
              <w:bottom w:val="single" w:sz="6" w:space="0" w:color="000000"/>
            </w:tcBorders>
          </w:tcPr>
          <w:p>
            <w:pPr>
              <w:spacing w:after="0" w:line="240" w:lineRule="auto"/>
              <w:jc w:val="center"/>
            </w:pPr>
            <w:r>
              <w:rPr>
                <w:b/>
              </w:rPr>
            </w:r>
            <w:r>
              <w:rPr>
                <w:b/>
                <w:sz w:val="15"/>
              </w:rPr>
              <w:t>Model 3</w:t>
            </w:r>
          </w:p>
        </w:tc>
        <w:tc>
          <w:tcPr>
            <w:tcW w:type="dxa" w:w="1417"/>
            <w:tcBorders>
              <w:bottom w:val="single" w:sz="6" w:space="0" w:color="000000"/>
            </w:tcBorders>
          </w:tcPr>
          <w:p>
            <w:pPr>
              <w:spacing w:after="0" w:line="240" w:lineRule="auto"/>
              <w:jc w:val="center"/>
            </w:pPr>
            <w:r>
              <w:rPr>
                <w:b/>
              </w:rPr>
            </w:r>
            <w:r>
              <w:rPr>
                <w:b/>
                <w:sz w:val="15"/>
              </w:rPr>
              <w:t>Model 4</w:t>
            </w:r>
          </w:p>
        </w:tc>
        <w:tc>
          <w:tcPr>
            <w:tcW w:type="dxa" w:w="1417"/>
            <w:tcBorders>
              <w:bottom w:val="single" w:sz="6" w:space="0" w:color="000000"/>
            </w:tcBorders>
          </w:tcPr>
          <w:p>
            <w:pPr>
              <w:spacing w:after="0" w:line="240" w:lineRule="auto"/>
              <w:jc w:val="center"/>
            </w:pPr>
            <w:r>
              <w:rPr>
                <w:b/>
              </w:rPr>
            </w:r>
            <w:r>
              <w:rPr>
                <w:b/>
                <w:sz w:val="15"/>
              </w:rPr>
              <w:t>Model 1</w:t>
            </w:r>
          </w:p>
        </w:tc>
        <w:tc>
          <w:tcPr>
            <w:tcW w:type="dxa" w:w="1417"/>
            <w:tcBorders>
              <w:bottom w:val="single" w:sz="6" w:space="0" w:color="000000"/>
            </w:tcBorders>
          </w:tcPr>
          <w:p>
            <w:pPr>
              <w:spacing w:after="0" w:line="240" w:lineRule="auto"/>
              <w:jc w:val="center"/>
            </w:pPr>
            <w:r>
              <w:rPr>
                <w:b/>
              </w:rPr>
            </w:r>
            <w:r>
              <w:rPr>
                <w:b/>
                <w:sz w:val="15"/>
              </w:rPr>
              <w:t>Model 2</w:t>
            </w:r>
          </w:p>
        </w:tc>
        <w:tc>
          <w:tcPr>
            <w:tcW w:type="dxa" w:w="1417"/>
            <w:tcBorders>
              <w:bottom w:val="single" w:sz="6" w:space="0" w:color="000000"/>
            </w:tcBorders>
          </w:tcPr>
          <w:p>
            <w:pPr>
              <w:spacing w:after="0" w:line="240" w:lineRule="auto"/>
              <w:jc w:val="center"/>
            </w:pPr>
            <w:r>
              <w:rPr>
                <w:b/>
              </w:rPr>
            </w:r>
            <w:r>
              <w:rPr>
                <w:b/>
                <w:sz w:val="15"/>
              </w:rPr>
              <w:t>Model 3</w:t>
            </w:r>
          </w:p>
        </w:tc>
        <w:tc>
          <w:tcPr>
            <w:tcW w:type="dxa" w:w="1417"/>
            <w:tcBorders>
              <w:bottom w:val="single" w:sz="6" w:space="0" w:color="000000"/>
            </w:tcBorders>
          </w:tcPr>
          <w:p>
            <w:pPr>
              <w:spacing w:after="0" w:line="240" w:lineRule="auto"/>
              <w:jc w:val="center"/>
            </w:pPr>
            <w:r>
              <w:rPr>
                <w:b/>
              </w:rPr>
            </w:r>
            <w:r>
              <w:rPr>
                <w:b/>
                <w:sz w:val="15"/>
              </w:rPr>
              <w:t>Model 4</w:t>
            </w:r>
          </w:p>
        </w:tc>
      </w:tr>
      <w:tr>
        <w:tc>
          <w:tcPr>
            <w:tcW w:type="dxa" w:w="3402"/>
          </w:tcPr>
          <w:p>
            <w:pPr>
              <w:spacing w:after="0" w:line="240" w:lineRule="auto"/>
            </w:pPr>
            <w:r>
              <w:rPr>
                <w:b/>
              </w:rPr>
            </w:r>
            <w:r>
              <w:rPr>
                <w:b/>
                <w:sz w:val="15"/>
              </w:rPr>
              <w:t>Lipids and lipoproteins</w:t>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r>
      <w:tr>
        <w:tc>
          <w:tcPr>
            <w:tcW w:type="dxa" w:w="3402"/>
          </w:tcPr>
          <w:p>
            <w:pPr>
              <w:spacing w:after="0" w:line="240" w:lineRule="auto"/>
              <w:ind w:left="227"/>
            </w:pPr>
            <w:r/>
            <w:r>
              <w:rPr>
                <w:sz w:val="15"/>
              </w:rPr>
              <w:t>Total triglycerides</w:t>
            </w:r>
          </w:p>
        </w:tc>
        <w:tc>
          <w:tcPr>
            <w:tcW w:type="dxa" w:w="1417"/>
          </w:tcPr>
          <w:p>
            <w:pPr>
              <w:spacing w:after="0" w:line="240" w:lineRule="auto"/>
              <w:jc w:val="center"/>
            </w:pPr>
            <w:r>
              <w:rPr>
                <w:b/>
              </w:rPr>
            </w:r>
            <w:r>
              <w:rPr>
                <w:b/>
                <w:sz w:val="15"/>
              </w:rPr>
              <w:t>1.05 (1.03–1.07)</w:t>
            </w:r>
          </w:p>
        </w:tc>
        <w:tc>
          <w:tcPr>
            <w:tcW w:type="dxa" w:w="1417"/>
          </w:tcPr>
          <w:p>
            <w:pPr>
              <w:spacing w:after="0" w:line="240" w:lineRule="auto"/>
              <w:jc w:val="center"/>
            </w:pPr>
            <w:r/>
            <w:r>
              <w:rPr>
                <w:sz w:val="15"/>
              </w:rPr>
              <w:t>1.03 (1.01–1.05)</w:t>
            </w:r>
          </w:p>
        </w:tc>
        <w:tc>
          <w:tcPr>
            <w:tcW w:type="dxa" w:w="1417"/>
          </w:tcPr>
          <w:p>
            <w:pPr>
              <w:spacing w:after="0" w:line="240" w:lineRule="auto"/>
              <w:jc w:val="center"/>
            </w:pPr>
            <w:r>
              <w:rPr>
                <w:b/>
              </w:rPr>
            </w:r>
            <w:r>
              <w:rPr>
                <w:b/>
                <w:sz w:val="15"/>
              </w:rPr>
              <w:t>1.05 (1.03–1.07)</w:t>
            </w:r>
          </w:p>
        </w:tc>
        <w:tc>
          <w:tcPr>
            <w:tcW w:type="dxa" w:w="1417"/>
          </w:tcPr>
          <w:p>
            <w:pPr>
              <w:spacing w:after="0" w:line="240" w:lineRule="auto"/>
              <w:jc w:val="center"/>
            </w:pPr>
            <w:r>
              <w:rPr>
                <w:b/>
              </w:rPr>
            </w:r>
            <w:r>
              <w:rPr>
                <w:b/>
                <w:sz w:val="15"/>
              </w:rPr>
              <w:t>1.04 (1.02–1.06)</w:t>
            </w:r>
          </w:p>
        </w:tc>
        <w:tc>
          <w:tcPr>
            <w:tcW w:type="dxa" w:w="1417"/>
          </w:tcPr>
          <w:p>
            <w:pPr>
              <w:spacing w:after="0" w:line="240" w:lineRule="auto"/>
              <w:jc w:val="center"/>
            </w:pPr>
            <w:r>
              <w:rPr>
                <w:b/>
              </w:rPr>
            </w:r>
            <w:r>
              <w:rPr>
                <w:b/>
                <w:sz w:val="15"/>
              </w:rPr>
              <w:t>1.10 (1.07–1.13)</w:t>
            </w:r>
          </w:p>
        </w:tc>
        <w:tc>
          <w:tcPr>
            <w:tcW w:type="dxa" w:w="1417"/>
          </w:tcPr>
          <w:p>
            <w:pPr>
              <w:spacing w:after="0" w:line="240" w:lineRule="auto"/>
              <w:jc w:val="center"/>
            </w:pPr>
            <w:r>
              <w:rPr>
                <w:b/>
              </w:rPr>
            </w:r>
            <w:r>
              <w:rPr>
                <w:b/>
                <w:sz w:val="15"/>
              </w:rPr>
              <w:t>1.07 (1.04–1.10)</w:t>
            </w:r>
          </w:p>
        </w:tc>
        <w:tc>
          <w:tcPr>
            <w:tcW w:type="dxa" w:w="1417"/>
          </w:tcPr>
          <w:p>
            <w:pPr>
              <w:spacing w:after="0" w:line="240" w:lineRule="auto"/>
              <w:jc w:val="center"/>
            </w:pPr>
            <w:r>
              <w:rPr>
                <w:b/>
              </w:rPr>
            </w:r>
            <w:r>
              <w:rPr>
                <w:b/>
                <w:sz w:val="15"/>
              </w:rPr>
              <w:t>1.09 (1.06–1.12)</w:t>
            </w:r>
          </w:p>
        </w:tc>
        <w:tc>
          <w:tcPr>
            <w:tcW w:type="dxa" w:w="1417"/>
          </w:tcPr>
          <w:p>
            <w:pPr>
              <w:spacing w:after="0" w:line="240" w:lineRule="auto"/>
              <w:jc w:val="center"/>
            </w:pPr>
            <w:r>
              <w:rPr>
                <w:b/>
              </w:rPr>
            </w:r>
            <w:r>
              <w:rPr>
                <w:b/>
                <w:sz w:val="15"/>
              </w:rPr>
              <w:t>1.06 (1.03–1.09)</w:t>
            </w:r>
          </w:p>
        </w:tc>
      </w:tr>
      <w:tr>
        <w:tc>
          <w:tcPr>
            <w:tcW w:type="dxa" w:w="3402"/>
          </w:tcPr>
          <w:p>
            <w:pPr>
              <w:spacing w:after="0" w:line="240" w:lineRule="auto"/>
              <w:ind w:left="227"/>
            </w:pPr>
            <w:r/>
            <w:r>
              <w:rPr>
                <w:sz w:val="15"/>
              </w:rPr>
              <w:t>HDL cholesterol</w:t>
            </w:r>
          </w:p>
        </w:tc>
        <w:tc>
          <w:tcPr>
            <w:tcW w:type="dxa" w:w="1417"/>
          </w:tcPr>
          <w:p>
            <w:pPr>
              <w:spacing w:after="0" w:line="240" w:lineRule="auto"/>
              <w:jc w:val="center"/>
            </w:pPr>
            <w:r/>
            <w:r>
              <w:rPr>
                <w:sz w:val="15"/>
              </w:rPr>
              <w:t>0.98 (0.96–1.00)</w:t>
            </w:r>
          </w:p>
        </w:tc>
        <w:tc>
          <w:tcPr>
            <w:tcW w:type="dxa" w:w="1417"/>
          </w:tcPr>
          <w:p>
            <w:pPr>
              <w:spacing w:after="0" w:line="240" w:lineRule="auto"/>
              <w:jc w:val="center"/>
            </w:pPr>
            <w:r/>
            <w:r>
              <w:rPr>
                <w:sz w:val="15"/>
              </w:rPr>
              <w:t>1.00 (0.98–1.02)</w:t>
            </w:r>
          </w:p>
        </w:tc>
        <w:tc>
          <w:tcPr>
            <w:tcW w:type="dxa" w:w="1417"/>
          </w:tcPr>
          <w:p>
            <w:pPr>
              <w:spacing w:after="0" w:line="240" w:lineRule="auto"/>
              <w:jc w:val="center"/>
            </w:pPr>
            <w:r/>
            <w:r>
              <w:rPr>
                <w:sz w:val="15"/>
              </w:rPr>
              <w:t>1.00 (0.98–1.02)</w:t>
            </w:r>
          </w:p>
        </w:tc>
        <w:tc>
          <w:tcPr>
            <w:tcW w:type="dxa" w:w="1417"/>
          </w:tcPr>
          <w:p>
            <w:pPr>
              <w:spacing w:after="0" w:line="240" w:lineRule="auto"/>
              <w:jc w:val="center"/>
            </w:pPr>
            <w:r/>
            <w:r>
              <w:rPr>
                <w:sz w:val="15"/>
              </w:rPr>
              <w:t>1.02 (1.00–1.04)</w:t>
            </w:r>
          </w:p>
        </w:tc>
        <w:tc>
          <w:tcPr>
            <w:tcW w:type="dxa" w:w="1417"/>
          </w:tcPr>
          <w:p>
            <w:pPr>
              <w:spacing w:after="0" w:line="240" w:lineRule="auto"/>
              <w:jc w:val="center"/>
            </w:pPr>
            <w:r>
              <w:rPr>
                <w:b/>
              </w:rPr>
            </w:r>
            <w:r>
              <w:rPr>
                <w:b/>
                <w:sz w:val="15"/>
              </w:rPr>
              <w:t>0.84 (0.82–0.87)</w:t>
            </w:r>
          </w:p>
        </w:tc>
        <w:tc>
          <w:tcPr>
            <w:tcW w:type="dxa" w:w="1417"/>
          </w:tcPr>
          <w:p>
            <w:pPr>
              <w:spacing w:after="0" w:line="240" w:lineRule="auto"/>
              <w:jc w:val="center"/>
            </w:pPr>
            <w:r>
              <w:rPr>
                <w:b/>
              </w:rPr>
            </w:r>
            <w:r>
              <w:rPr>
                <w:b/>
                <w:sz w:val="15"/>
              </w:rPr>
              <w:t>0.87 (0.84–0.90)</w:t>
            </w:r>
          </w:p>
        </w:tc>
        <w:tc>
          <w:tcPr>
            <w:tcW w:type="dxa" w:w="1417"/>
          </w:tcPr>
          <w:p>
            <w:pPr>
              <w:spacing w:after="0" w:line="240" w:lineRule="auto"/>
              <w:jc w:val="center"/>
            </w:pPr>
            <w:r>
              <w:rPr>
                <w:b/>
              </w:rPr>
            </w:r>
            <w:r>
              <w:rPr>
                <w:b/>
                <w:sz w:val="15"/>
              </w:rPr>
              <w:t>0.88 (0.86–0.91)</w:t>
            </w:r>
          </w:p>
        </w:tc>
        <w:tc>
          <w:tcPr>
            <w:tcW w:type="dxa" w:w="1417"/>
          </w:tcPr>
          <w:p>
            <w:pPr>
              <w:spacing w:after="0" w:line="240" w:lineRule="auto"/>
              <w:jc w:val="center"/>
            </w:pPr>
            <w:r>
              <w:rPr>
                <w:b/>
              </w:rPr>
            </w:r>
            <w:r>
              <w:rPr>
                <w:b/>
                <w:sz w:val="15"/>
              </w:rPr>
              <w:t>0.90 (0.87–0.93)</w:t>
            </w:r>
          </w:p>
        </w:tc>
      </w:tr>
      <w:tr>
        <w:tc>
          <w:tcPr>
            <w:tcW w:type="dxa" w:w="3402"/>
          </w:tcPr>
          <w:p>
            <w:pPr>
              <w:spacing w:after="0" w:line="240" w:lineRule="auto"/>
              <w:ind w:left="227"/>
            </w:pPr>
            <w:r/>
            <w:r>
              <w:rPr>
                <w:sz w:val="15"/>
              </w:rPr>
              <w:t>Apolipoprotein A1</w:t>
            </w:r>
          </w:p>
        </w:tc>
        <w:tc>
          <w:tcPr>
            <w:tcW w:type="dxa" w:w="1417"/>
          </w:tcPr>
          <w:p>
            <w:pPr>
              <w:spacing w:after="0" w:line="240" w:lineRule="auto"/>
              <w:jc w:val="center"/>
            </w:pPr>
            <w:r/>
            <w:r>
              <w:rPr>
                <w:sz w:val="15"/>
              </w:rPr>
              <w:t>1.01 (0.99–1.03)</w:t>
            </w:r>
          </w:p>
        </w:tc>
        <w:tc>
          <w:tcPr>
            <w:tcW w:type="dxa" w:w="1417"/>
          </w:tcPr>
          <w:p>
            <w:pPr>
              <w:spacing w:after="0" w:line="240" w:lineRule="auto"/>
              <w:jc w:val="center"/>
            </w:pPr>
            <w:r/>
            <w:r>
              <w:rPr>
                <w:sz w:val="15"/>
              </w:rPr>
              <w:t>1.02 (1.00–1.04)</w:t>
            </w:r>
          </w:p>
        </w:tc>
        <w:tc>
          <w:tcPr>
            <w:tcW w:type="dxa" w:w="1417"/>
          </w:tcPr>
          <w:p>
            <w:pPr>
              <w:spacing w:after="0" w:line="240" w:lineRule="auto"/>
              <w:jc w:val="center"/>
            </w:pPr>
            <w:r/>
            <w:r>
              <w:rPr>
                <w:sz w:val="15"/>
              </w:rPr>
              <w:t>1.02 (1.00–1.04)</w:t>
            </w:r>
          </w:p>
        </w:tc>
        <w:tc>
          <w:tcPr>
            <w:tcW w:type="dxa" w:w="1417"/>
          </w:tcPr>
          <w:p>
            <w:pPr>
              <w:spacing w:after="0" w:line="240" w:lineRule="auto"/>
              <w:jc w:val="center"/>
            </w:pPr>
            <w:r/>
            <w:r>
              <w:rPr>
                <w:sz w:val="15"/>
              </w:rPr>
              <w:t>1.03 (1.01–1.05)</w:t>
            </w:r>
          </w:p>
        </w:tc>
        <w:tc>
          <w:tcPr>
            <w:tcW w:type="dxa" w:w="1417"/>
          </w:tcPr>
          <w:p>
            <w:pPr>
              <w:spacing w:after="0" w:line="240" w:lineRule="auto"/>
              <w:jc w:val="center"/>
            </w:pPr>
            <w:r>
              <w:rPr>
                <w:b/>
              </w:rPr>
            </w:r>
            <w:r>
              <w:rPr>
                <w:b/>
                <w:sz w:val="15"/>
              </w:rPr>
              <w:t>0.88 (0.86–0.91)</w:t>
            </w:r>
          </w:p>
        </w:tc>
        <w:tc>
          <w:tcPr>
            <w:tcW w:type="dxa" w:w="1417"/>
          </w:tcPr>
          <w:p>
            <w:pPr>
              <w:spacing w:after="0" w:line="240" w:lineRule="auto"/>
              <w:jc w:val="center"/>
            </w:pPr>
            <w:r>
              <w:rPr>
                <w:b/>
              </w:rPr>
            </w:r>
            <w:r>
              <w:rPr>
                <w:b/>
                <w:sz w:val="15"/>
              </w:rPr>
              <w:t>0.90 (0.88–0.93)</w:t>
            </w:r>
          </w:p>
        </w:tc>
        <w:tc>
          <w:tcPr>
            <w:tcW w:type="dxa" w:w="1417"/>
          </w:tcPr>
          <w:p>
            <w:pPr>
              <w:spacing w:after="0" w:line="240" w:lineRule="auto"/>
              <w:jc w:val="center"/>
            </w:pPr>
            <w:r>
              <w:rPr>
                <w:b/>
              </w:rPr>
            </w:r>
            <w:r>
              <w:rPr>
                <w:b/>
                <w:sz w:val="15"/>
              </w:rPr>
              <w:t>0.91 (0.89–0.94)</w:t>
            </w:r>
          </w:p>
        </w:tc>
        <w:tc>
          <w:tcPr>
            <w:tcW w:type="dxa" w:w="1417"/>
          </w:tcPr>
          <w:p>
            <w:pPr>
              <w:spacing w:after="0" w:line="240" w:lineRule="auto"/>
              <w:jc w:val="center"/>
            </w:pPr>
            <w:r>
              <w:rPr>
                <w:b/>
              </w:rPr>
            </w:r>
            <w:r>
              <w:rPr>
                <w:b/>
                <w:sz w:val="15"/>
              </w:rPr>
              <w:t>0.92 (0.90–0.95)</w:t>
            </w:r>
          </w:p>
        </w:tc>
      </w:tr>
      <w:tr>
        <w:tc>
          <w:tcPr>
            <w:tcW w:type="dxa" w:w="3402"/>
          </w:tcPr>
          <w:p>
            <w:pPr>
              <w:spacing w:after="0" w:line="240" w:lineRule="auto"/>
              <w:ind w:left="227"/>
            </w:pPr>
            <w:r/>
            <w:r>
              <w:rPr>
                <w:sz w:val="15"/>
              </w:rPr>
              <w:t>LDL cholesterol</w:t>
            </w:r>
          </w:p>
        </w:tc>
        <w:tc>
          <w:tcPr>
            <w:tcW w:type="dxa" w:w="1417"/>
          </w:tcPr>
          <w:p>
            <w:pPr>
              <w:spacing w:after="0" w:line="240" w:lineRule="auto"/>
              <w:jc w:val="center"/>
            </w:pPr>
            <w:r>
              <w:rPr>
                <w:b/>
              </w:rPr>
            </w:r>
            <w:r>
              <w:rPr>
                <w:b/>
                <w:sz w:val="15"/>
              </w:rPr>
              <w:t>0.97 (0.95–0.98)</w:t>
            </w:r>
          </w:p>
        </w:tc>
        <w:tc>
          <w:tcPr>
            <w:tcW w:type="dxa" w:w="1417"/>
          </w:tcPr>
          <w:p>
            <w:pPr>
              <w:spacing w:after="0" w:line="240" w:lineRule="auto"/>
              <w:jc w:val="center"/>
            </w:pPr>
            <w:r/>
            <w:r>
              <w:rPr>
                <w:sz w:val="15"/>
              </w:rPr>
              <w:t>0.97 (0.95–0.99)</w:t>
            </w:r>
          </w:p>
        </w:tc>
        <w:tc>
          <w:tcPr>
            <w:tcW w:type="dxa" w:w="1417"/>
          </w:tcPr>
          <w:p>
            <w:pPr>
              <w:spacing w:after="0" w:line="240" w:lineRule="auto"/>
              <w:jc w:val="center"/>
            </w:pPr>
            <w:r/>
            <w:r>
              <w:rPr>
                <w:sz w:val="15"/>
              </w:rPr>
              <w:t>1.00 (0.98–1.02)</w:t>
            </w:r>
          </w:p>
        </w:tc>
        <w:tc>
          <w:tcPr>
            <w:tcW w:type="dxa" w:w="1417"/>
          </w:tcPr>
          <w:p>
            <w:pPr>
              <w:spacing w:after="0" w:line="240" w:lineRule="auto"/>
              <w:jc w:val="center"/>
            </w:pPr>
            <w:r/>
            <w:r>
              <w:rPr>
                <w:sz w:val="15"/>
              </w:rPr>
              <w:t>1.00 (0.98–1.02)</w:t>
            </w:r>
          </w:p>
        </w:tc>
        <w:tc>
          <w:tcPr>
            <w:tcW w:type="dxa" w:w="1417"/>
          </w:tcPr>
          <w:p>
            <w:pPr>
              <w:spacing w:after="0" w:line="240" w:lineRule="auto"/>
              <w:jc w:val="center"/>
            </w:pPr>
            <w:r>
              <w:rPr>
                <w:b/>
              </w:rPr>
            </w:r>
            <w:r>
              <w:rPr>
                <w:b/>
                <w:sz w:val="15"/>
              </w:rPr>
              <w:t>0.95 (0.93–0.98)</w:t>
            </w:r>
          </w:p>
        </w:tc>
        <w:tc>
          <w:tcPr>
            <w:tcW w:type="dxa" w:w="1417"/>
          </w:tcPr>
          <w:p>
            <w:pPr>
              <w:spacing w:after="0" w:line="240" w:lineRule="auto"/>
              <w:jc w:val="center"/>
            </w:pPr>
            <w:r>
              <w:rPr>
                <w:b/>
              </w:rPr>
            </w:r>
            <w:r>
              <w:rPr>
                <w:b/>
                <w:sz w:val="15"/>
              </w:rPr>
              <w:t>0.95 (0.93–0.97)</w:t>
            </w:r>
          </w:p>
        </w:tc>
        <w:tc>
          <w:tcPr>
            <w:tcW w:type="dxa" w:w="1417"/>
          </w:tcPr>
          <w:p>
            <w:pPr>
              <w:spacing w:after="0" w:line="240" w:lineRule="auto"/>
              <w:jc w:val="center"/>
            </w:pPr>
            <w:r/>
            <w:r>
              <w:rPr>
                <w:sz w:val="15"/>
              </w:rPr>
              <w:t>1.00 (0.97–1.03)</w:t>
            </w:r>
          </w:p>
        </w:tc>
        <w:tc>
          <w:tcPr>
            <w:tcW w:type="dxa" w:w="1417"/>
          </w:tcPr>
          <w:p>
            <w:pPr>
              <w:spacing w:after="0" w:line="240" w:lineRule="auto"/>
              <w:jc w:val="center"/>
            </w:pPr>
            <w:r/>
            <w:r>
              <w:rPr>
                <w:sz w:val="15"/>
              </w:rPr>
              <w:t>0.99 (0.97–1.02)</w:t>
            </w:r>
          </w:p>
        </w:tc>
      </w:tr>
      <w:tr>
        <w:tc>
          <w:tcPr>
            <w:tcW w:type="dxa" w:w="3402"/>
          </w:tcPr>
          <w:p>
            <w:pPr>
              <w:spacing w:after="0" w:line="240" w:lineRule="auto"/>
              <w:ind w:left="227"/>
            </w:pPr>
            <w:r/>
            <w:r>
              <w:rPr>
                <w:sz w:val="15"/>
              </w:rPr>
              <w:t>Apolipoprotein B</w:t>
            </w:r>
          </w:p>
        </w:tc>
        <w:tc>
          <w:tcPr>
            <w:tcW w:type="dxa" w:w="1417"/>
          </w:tcPr>
          <w:p>
            <w:pPr>
              <w:spacing w:after="0" w:line="240" w:lineRule="auto"/>
              <w:jc w:val="center"/>
            </w:pPr>
            <w:r>
              <w:rPr>
                <w:b/>
              </w:rPr>
            </w:r>
            <w:r>
              <w:rPr>
                <w:b/>
                <w:sz w:val="15"/>
              </w:rPr>
              <w:t>0.97 (0.95–0.98)</w:t>
            </w:r>
          </w:p>
        </w:tc>
        <w:tc>
          <w:tcPr>
            <w:tcW w:type="dxa" w:w="1417"/>
          </w:tcPr>
          <w:p>
            <w:pPr>
              <w:spacing w:after="0" w:line="240" w:lineRule="auto"/>
              <w:jc w:val="center"/>
            </w:pPr>
            <w:r>
              <w:rPr>
                <w:b/>
              </w:rPr>
            </w:r>
            <w:r>
              <w:rPr>
                <w:b/>
                <w:sz w:val="15"/>
              </w:rPr>
              <w:t>0.97 (0.95–0.98)</w:t>
            </w:r>
          </w:p>
        </w:tc>
        <w:tc>
          <w:tcPr>
            <w:tcW w:type="dxa" w:w="1417"/>
          </w:tcPr>
          <w:p>
            <w:pPr>
              <w:spacing w:after="0" w:line="240" w:lineRule="auto"/>
              <w:jc w:val="center"/>
            </w:pPr>
            <w:r/>
            <w:r>
              <w:rPr>
                <w:sz w:val="15"/>
              </w:rPr>
              <w:t>1.00 (0.98–1.01)</w:t>
            </w:r>
          </w:p>
        </w:tc>
        <w:tc>
          <w:tcPr>
            <w:tcW w:type="dxa" w:w="1417"/>
          </w:tcPr>
          <w:p>
            <w:pPr>
              <w:spacing w:after="0" w:line="240" w:lineRule="auto"/>
              <w:jc w:val="center"/>
            </w:pPr>
            <w:r/>
            <w:r>
              <w:rPr>
                <w:sz w:val="15"/>
              </w:rPr>
              <w:t>0.99 (0.98–1.01)</w:t>
            </w:r>
          </w:p>
        </w:tc>
        <w:tc>
          <w:tcPr>
            <w:tcW w:type="dxa" w:w="1417"/>
          </w:tcPr>
          <w:p>
            <w:pPr>
              <w:spacing w:after="0" w:line="240" w:lineRule="auto"/>
              <w:jc w:val="center"/>
            </w:pPr>
            <w:r/>
            <w:r>
              <w:rPr>
                <w:sz w:val="15"/>
              </w:rPr>
              <w:t>0.98 (0.95–1.00)</w:t>
            </w:r>
          </w:p>
        </w:tc>
        <w:tc>
          <w:tcPr>
            <w:tcW w:type="dxa" w:w="1417"/>
          </w:tcPr>
          <w:p>
            <w:pPr>
              <w:spacing w:after="0" w:line="240" w:lineRule="auto"/>
              <w:jc w:val="center"/>
            </w:pPr>
            <w:r/>
            <w:r>
              <w:rPr>
                <w:sz w:val="15"/>
              </w:rPr>
              <w:t>0.97 (0.95–1.00)</w:t>
            </w:r>
          </w:p>
        </w:tc>
        <w:tc>
          <w:tcPr>
            <w:tcW w:type="dxa" w:w="1417"/>
          </w:tcPr>
          <w:p>
            <w:pPr>
              <w:spacing w:after="0" w:line="240" w:lineRule="auto"/>
              <w:jc w:val="center"/>
            </w:pPr>
            <w:r/>
            <w:r>
              <w:rPr>
                <w:sz w:val="15"/>
              </w:rPr>
              <w:t>1.02 (1.00–1.05)</w:t>
            </w:r>
          </w:p>
        </w:tc>
        <w:tc>
          <w:tcPr>
            <w:tcW w:type="dxa" w:w="1417"/>
          </w:tcPr>
          <w:p>
            <w:pPr>
              <w:spacing w:after="0" w:line="240" w:lineRule="auto"/>
              <w:jc w:val="center"/>
            </w:pPr>
            <w:r/>
            <w:r>
              <w:rPr>
                <w:sz w:val="15"/>
              </w:rPr>
              <w:t>1.01 (0.99–1.04)</w:t>
            </w:r>
          </w:p>
        </w:tc>
      </w:tr>
      <w:tr>
        <w:tc>
          <w:tcPr>
            <w:tcW w:type="dxa" w:w="3402"/>
          </w:tcPr>
          <w:p>
            <w:pPr>
              <w:spacing w:after="0" w:line="240" w:lineRule="auto"/>
              <w:ind w:left="227"/>
            </w:pPr>
            <w:r/>
            <w:r>
              <w:rPr>
                <w:sz w:val="15"/>
              </w:rPr>
              <w:t>Total cholesterol</w:t>
            </w:r>
          </w:p>
        </w:tc>
        <w:tc>
          <w:tcPr>
            <w:tcW w:type="dxa" w:w="1417"/>
          </w:tcPr>
          <w:p>
            <w:pPr>
              <w:spacing w:after="0" w:line="240" w:lineRule="auto"/>
              <w:jc w:val="center"/>
            </w:pPr>
            <w:r>
              <w:rPr>
                <w:b/>
              </w:rPr>
            </w:r>
            <w:r>
              <w:rPr>
                <w:b/>
                <w:sz w:val="15"/>
              </w:rPr>
              <w:t>0.96 (0.95–0.98)</w:t>
            </w:r>
          </w:p>
        </w:tc>
        <w:tc>
          <w:tcPr>
            <w:tcW w:type="dxa" w:w="1417"/>
          </w:tcPr>
          <w:p>
            <w:pPr>
              <w:spacing w:after="0" w:line="240" w:lineRule="auto"/>
              <w:jc w:val="center"/>
            </w:pPr>
            <w:r/>
            <w:r>
              <w:rPr>
                <w:sz w:val="15"/>
              </w:rPr>
              <w:t>0.97 (0.95–0.99)</w:t>
            </w:r>
          </w:p>
        </w:tc>
        <w:tc>
          <w:tcPr>
            <w:tcW w:type="dxa" w:w="1417"/>
          </w:tcPr>
          <w:p>
            <w:pPr>
              <w:spacing w:after="0" w:line="240" w:lineRule="auto"/>
              <w:jc w:val="center"/>
            </w:pPr>
            <w:r/>
            <w:r>
              <w:rPr>
                <w:sz w:val="15"/>
              </w:rPr>
              <w:t>1.00 (0.98–1.02)</w:t>
            </w:r>
          </w:p>
        </w:tc>
        <w:tc>
          <w:tcPr>
            <w:tcW w:type="dxa" w:w="1417"/>
          </w:tcPr>
          <w:p>
            <w:pPr>
              <w:spacing w:after="0" w:line="240" w:lineRule="auto"/>
              <w:jc w:val="center"/>
            </w:pPr>
            <w:r/>
            <w:r>
              <w:rPr>
                <w:sz w:val="15"/>
              </w:rPr>
              <w:t>1.00 (0.98–1.02)</w:t>
            </w:r>
          </w:p>
        </w:tc>
        <w:tc>
          <w:tcPr>
            <w:tcW w:type="dxa" w:w="1417"/>
          </w:tcPr>
          <w:p>
            <w:pPr>
              <w:spacing w:after="0" w:line="240" w:lineRule="auto"/>
              <w:jc w:val="center"/>
            </w:pPr>
            <w:r>
              <w:rPr>
                <w:b/>
              </w:rPr>
            </w:r>
            <w:r>
              <w:rPr>
                <w:b/>
                <w:sz w:val="15"/>
              </w:rPr>
              <w:t>0.92 (0.90–0.94)</w:t>
            </w:r>
          </w:p>
        </w:tc>
        <w:tc>
          <w:tcPr>
            <w:tcW w:type="dxa" w:w="1417"/>
          </w:tcPr>
          <w:p>
            <w:pPr>
              <w:spacing w:after="0" w:line="240" w:lineRule="auto"/>
              <w:jc w:val="center"/>
            </w:pPr>
            <w:r>
              <w:rPr>
                <w:b/>
              </w:rPr>
            </w:r>
            <w:r>
              <w:rPr>
                <w:b/>
                <w:sz w:val="15"/>
              </w:rPr>
              <w:t>0.92 (0.90–0.95)</w:t>
            </w:r>
          </w:p>
        </w:tc>
        <w:tc>
          <w:tcPr>
            <w:tcW w:type="dxa" w:w="1417"/>
          </w:tcPr>
          <w:p>
            <w:pPr>
              <w:spacing w:after="0" w:line="240" w:lineRule="auto"/>
              <w:jc w:val="center"/>
            </w:pPr>
            <w:r/>
            <w:r>
              <w:rPr>
                <w:sz w:val="15"/>
              </w:rPr>
              <w:t>0.97 (0.94–1.00)</w:t>
            </w:r>
          </w:p>
        </w:tc>
        <w:tc>
          <w:tcPr>
            <w:tcW w:type="dxa" w:w="1417"/>
          </w:tcPr>
          <w:p>
            <w:pPr>
              <w:spacing w:after="0" w:line="240" w:lineRule="auto"/>
              <w:jc w:val="center"/>
            </w:pPr>
            <w:r/>
            <w:r>
              <w:rPr>
                <w:sz w:val="15"/>
              </w:rPr>
              <w:t>0.97 (0.94–0.99)</w:t>
            </w:r>
          </w:p>
        </w:tc>
      </w:tr>
      <w:tr>
        <w:tc>
          <w:tcPr>
            <w:tcW w:type="dxa" w:w="3402"/>
          </w:tcPr>
          <w:p>
            <w:pPr>
              <w:spacing w:after="0" w:line="240" w:lineRule="auto"/>
              <w:ind w:left="227"/>
            </w:pPr>
            <w:r/>
            <w:r>
              <w:rPr>
                <w:sz w:val="15"/>
              </w:rPr>
              <w:t>Triglycerides in very small VLDL, % of lipids</w:t>
            </w:r>
          </w:p>
        </w:tc>
        <w:tc>
          <w:tcPr>
            <w:tcW w:type="dxa" w:w="1417"/>
          </w:tcPr>
          <w:p>
            <w:pPr>
              <w:spacing w:after="0" w:line="240" w:lineRule="auto"/>
              <w:jc w:val="center"/>
            </w:pPr>
            <w:r>
              <w:rPr>
                <w:b/>
              </w:rPr>
            </w:r>
            <w:r>
              <w:rPr>
                <w:b/>
                <w:sz w:val="15"/>
              </w:rPr>
              <w:t>1.10 (1.08–1.12)</w:t>
            </w:r>
          </w:p>
        </w:tc>
        <w:tc>
          <w:tcPr>
            <w:tcW w:type="dxa" w:w="1417"/>
          </w:tcPr>
          <w:p>
            <w:pPr>
              <w:spacing w:after="0" w:line="240" w:lineRule="auto"/>
              <w:jc w:val="center"/>
            </w:pPr>
            <w:r>
              <w:rPr>
                <w:b/>
              </w:rPr>
            </w:r>
            <w:r>
              <w:rPr>
                <w:b/>
                <w:sz w:val="15"/>
              </w:rPr>
              <w:t>1.08 (1.06–1.10)</w:t>
            </w:r>
          </w:p>
        </w:tc>
        <w:tc>
          <w:tcPr>
            <w:tcW w:type="dxa" w:w="1417"/>
          </w:tcPr>
          <w:p>
            <w:pPr>
              <w:spacing w:after="0" w:line="240" w:lineRule="auto"/>
              <w:jc w:val="center"/>
            </w:pPr>
            <w:r>
              <w:rPr>
                <w:b/>
              </w:rPr>
            </w:r>
            <w:r>
              <w:rPr>
                <w:b/>
                <w:sz w:val="15"/>
              </w:rPr>
              <w:t>1.07 (1.05–1.09)</w:t>
            </w:r>
          </w:p>
        </w:tc>
        <w:tc>
          <w:tcPr>
            <w:tcW w:type="dxa" w:w="1417"/>
          </w:tcPr>
          <w:p>
            <w:pPr>
              <w:spacing w:after="0" w:line="240" w:lineRule="auto"/>
              <w:jc w:val="center"/>
            </w:pPr>
            <w:r>
              <w:rPr>
                <w:b/>
              </w:rPr>
            </w:r>
            <w:r>
              <w:rPr>
                <w:b/>
                <w:sz w:val="15"/>
              </w:rPr>
              <w:t>1.05 (1.03–1.07)</w:t>
            </w:r>
          </w:p>
        </w:tc>
        <w:tc>
          <w:tcPr>
            <w:tcW w:type="dxa" w:w="1417"/>
          </w:tcPr>
          <w:p>
            <w:pPr>
              <w:spacing w:after="0" w:line="240" w:lineRule="auto"/>
              <w:jc w:val="center"/>
            </w:pPr>
            <w:r>
              <w:rPr>
                <w:b/>
              </w:rPr>
            </w:r>
            <w:r>
              <w:rPr>
                <w:b/>
                <w:sz w:val="15"/>
              </w:rPr>
              <w:t>1.14 (1.11–1.17)</w:t>
            </w:r>
          </w:p>
        </w:tc>
        <w:tc>
          <w:tcPr>
            <w:tcW w:type="dxa" w:w="1417"/>
          </w:tcPr>
          <w:p>
            <w:pPr>
              <w:spacing w:after="0" w:line="240" w:lineRule="auto"/>
              <w:jc w:val="center"/>
            </w:pPr>
            <w:r>
              <w:rPr>
                <w:b/>
              </w:rPr>
            </w:r>
            <w:r>
              <w:rPr>
                <w:b/>
                <w:sz w:val="15"/>
              </w:rPr>
              <w:t>1.10 (1.07–1.13)</w:t>
            </w:r>
          </w:p>
        </w:tc>
        <w:tc>
          <w:tcPr>
            <w:tcW w:type="dxa" w:w="1417"/>
          </w:tcPr>
          <w:p>
            <w:pPr>
              <w:spacing w:after="0" w:line="240" w:lineRule="auto"/>
              <w:jc w:val="center"/>
            </w:pPr>
            <w:r>
              <w:rPr>
                <w:b/>
              </w:rPr>
            </w:r>
            <w:r>
              <w:rPr>
                <w:b/>
                <w:sz w:val="15"/>
              </w:rPr>
              <w:t>1.07 (1.05–1.10)</w:t>
            </w:r>
          </w:p>
        </w:tc>
        <w:tc>
          <w:tcPr>
            <w:tcW w:type="dxa" w:w="1417"/>
          </w:tcPr>
          <w:p>
            <w:pPr>
              <w:spacing w:after="0" w:line="240" w:lineRule="auto"/>
              <w:jc w:val="center"/>
            </w:pPr>
            <w:r/>
            <w:r>
              <w:rPr>
                <w:sz w:val="15"/>
              </w:rPr>
              <w:t>1.05 (1.02–1.08)</w:t>
            </w:r>
          </w:p>
        </w:tc>
      </w:tr>
      <w:tr>
        <w:tc>
          <w:tcPr>
            <w:tcW w:type="dxa" w:w="3402"/>
          </w:tcPr>
          <w:p>
            <w:pPr>
              <w:spacing w:after="0" w:line="240" w:lineRule="auto"/>
            </w:pPr>
            <w:r>
              <w:rPr>
                <w:b/>
              </w:rPr>
            </w:r>
            <w:r>
              <w:rPr>
                <w:b/>
                <w:sz w:val="15"/>
              </w:rPr>
              <w:t>Inflammation</w:t>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r>
      <w:tr>
        <w:tc>
          <w:tcPr>
            <w:tcW w:type="dxa" w:w="3402"/>
          </w:tcPr>
          <w:p>
            <w:pPr>
              <w:spacing w:after="0" w:line="240" w:lineRule="auto"/>
              <w:ind w:left="227"/>
            </w:pPr>
            <w:r/>
            <w:r>
              <w:rPr>
                <w:sz w:val="15"/>
              </w:rPr>
              <w:t>Glycoprotein acetyls</w:t>
            </w:r>
          </w:p>
        </w:tc>
        <w:tc>
          <w:tcPr>
            <w:tcW w:type="dxa" w:w="1417"/>
          </w:tcPr>
          <w:p>
            <w:pPr>
              <w:spacing w:after="0" w:line="240" w:lineRule="auto"/>
              <w:jc w:val="center"/>
            </w:pPr>
            <w:r>
              <w:rPr>
                <w:b/>
              </w:rPr>
            </w:r>
            <w:r>
              <w:rPr>
                <w:b/>
                <w:sz w:val="15"/>
              </w:rPr>
              <w:t>1.08 (1.06–1.10)</w:t>
            </w:r>
          </w:p>
        </w:tc>
        <w:tc>
          <w:tcPr>
            <w:tcW w:type="dxa" w:w="1417"/>
          </w:tcPr>
          <w:p>
            <w:pPr>
              <w:spacing w:after="0" w:line="240" w:lineRule="auto"/>
              <w:jc w:val="center"/>
            </w:pPr>
            <w:r>
              <w:rPr>
                <w:b/>
              </w:rPr>
            </w:r>
            <w:r>
              <w:rPr>
                <w:b/>
                <w:sz w:val="15"/>
              </w:rPr>
              <w:t>1.06 (1.03–1.08)</w:t>
            </w:r>
          </w:p>
        </w:tc>
        <w:tc>
          <w:tcPr>
            <w:tcW w:type="dxa" w:w="1417"/>
          </w:tcPr>
          <w:p>
            <w:pPr>
              <w:spacing w:after="0" w:line="240" w:lineRule="auto"/>
              <w:jc w:val="center"/>
            </w:pPr>
            <w:r>
              <w:rPr>
                <w:b/>
              </w:rPr>
            </w:r>
            <w:r>
              <w:rPr>
                <w:b/>
                <w:sz w:val="15"/>
              </w:rPr>
              <w:t>1.07 (1.05–1.09)</w:t>
            </w:r>
          </w:p>
        </w:tc>
        <w:tc>
          <w:tcPr>
            <w:tcW w:type="dxa" w:w="1417"/>
          </w:tcPr>
          <w:p>
            <w:pPr>
              <w:spacing w:after="0" w:line="240" w:lineRule="auto"/>
              <w:jc w:val="center"/>
            </w:pPr>
            <w:r>
              <w:rPr>
                <w:b/>
              </w:rPr>
            </w:r>
            <w:r>
              <w:rPr>
                <w:b/>
                <w:sz w:val="15"/>
              </w:rPr>
              <w:t>1.05 (1.03–1.07)</w:t>
            </w:r>
          </w:p>
        </w:tc>
        <w:tc>
          <w:tcPr>
            <w:tcW w:type="dxa" w:w="1417"/>
          </w:tcPr>
          <w:p>
            <w:pPr>
              <w:spacing w:after="0" w:line="240" w:lineRule="auto"/>
              <w:jc w:val="center"/>
            </w:pPr>
            <w:r>
              <w:rPr>
                <w:b/>
              </w:rPr>
            </w:r>
            <w:r>
              <w:rPr>
                <w:b/>
                <w:sz w:val="15"/>
              </w:rPr>
              <w:t>1.18 (1.15–1.21)</w:t>
            </w:r>
          </w:p>
        </w:tc>
        <w:tc>
          <w:tcPr>
            <w:tcW w:type="dxa" w:w="1417"/>
          </w:tcPr>
          <w:p>
            <w:pPr>
              <w:spacing w:after="0" w:line="240" w:lineRule="auto"/>
              <w:jc w:val="center"/>
            </w:pPr>
            <w:r>
              <w:rPr>
                <w:b/>
              </w:rPr>
            </w:r>
            <w:r>
              <w:rPr>
                <w:b/>
                <w:sz w:val="15"/>
              </w:rPr>
              <w:t>1.12 (1.09–1.16)</w:t>
            </w:r>
          </w:p>
        </w:tc>
        <w:tc>
          <w:tcPr>
            <w:tcW w:type="dxa" w:w="1417"/>
          </w:tcPr>
          <w:p>
            <w:pPr>
              <w:spacing w:after="0" w:line="240" w:lineRule="auto"/>
              <w:jc w:val="center"/>
            </w:pPr>
            <w:r>
              <w:rPr>
                <w:b/>
              </w:rPr>
            </w:r>
            <w:r>
              <w:rPr>
                <w:b/>
                <w:sz w:val="15"/>
              </w:rPr>
              <w:t>1.14 (1.11–1.17)</w:t>
            </w:r>
          </w:p>
        </w:tc>
        <w:tc>
          <w:tcPr>
            <w:tcW w:type="dxa" w:w="1417"/>
          </w:tcPr>
          <w:p>
            <w:pPr>
              <w:spacing w:after="0" w:line="240" w:lineRule="auto"/>
              <w:jc w:val="center"/>
            </w:pPr>
            <w:r>
              <w:rPr>
                <w:b/>
              </w:rPr>
            </w:r>
            <w:r>
              <w:rPr>
                <w:b/>
                <w:sz w:val="15"/>
              </w:rPr>
              <w:t>1.10 (1.07–1.14)</w:t>
            </w:r>
          </w:p>
        </w:tc>
      </w:tr>
      <w:tr>
        <w:tc>
          <w:tcPr>
            <w:tcW w:type="dxa" w:w="3402"/>
          </w:tcPr>
          <w:p>
            <w:pPr>
              <w:spacing w:after="0" w:line="240" w:lineRule="auto"/>
              <w:ind w:left="227"/>
            </w:pPr>
            <w:r/>
            <w:r>
              <w:rPr>
                <w:sz w:val="15"/>
              </w:rPr>
              <w:t>Albumin</w:t>
            </w:r>
          </w:p>
        </w:tc>
        <w:tc>
          <w:tcPr>
            <w:tcW w:type="dxa" w:w="1417"/>
          </w:tcPr>
          <w:p>
            <w:pPr>
              <w:spacing w:after="0" w:line="240" w:lineRule="auto"/>
              <w:jc w:val="center"/>
            </w:pPr>
            <w:r>
              <w:rPr>
                <w:b/>
              </w:rPr>
            </w:r>
            <w:r>
              <w:rPr>
                <w:b/>
                <w:sz w:val="15"/>
              </w:rPr>
              <w:t>0.97 (0.95–0.98)</w:t>
            </w:r>
          </w:p>
        </w:tc>
        <w:tc>
          <w:tcPr>
            <w:tcW w:type="dxa" w:w="1417"/>
          </w:tcPr>
          <w:p>
            <w:pPr>
              <w:spacing w:after="0" w:line="240" w:lineRule="auto"/>
              <w:jc w:val="center"/>
            </w:pPr>
            <w:r/>
            <w:r>
              <w:rPr>
                <w:sz w:val="15"/>
              </w:rPr>
              <w:t>0.98 (0.96–0.99)</w:t>
            </w:r>
          </w:p>
        </w:tc>
        <w:tc>
          <w:tcPr>
            <w:tcW w:type="dxa" w:w="1417"/>
          </w:tcPr>
          <w:p>
            <w:pPr>
              <w:spacing w:after="0" w:line="240" w:lineRule="auto"/>
              <w:jc w:val="center"/>
            </w:pPr>
            <w:r/>
            <w:r>
              <w:rPr>
                <w:sz w:val="15"/>
              </w:rPr>
              <w:t>0.98 (0.96–0.99)</w:t>
            </w:r>
          </w:p>
        </w:tc>
        <w:tc>
          <w:tcPr>
            <w:tcW w:type="dxa" w:w="1417"/>
          </w:tcPr>
          <w:p>
            <w:pPr>
              <w:spacing w:after="0" w:line="240" w:lineRule="auto"/>
              <w:jc w:val="center"/>
            </w:pPr>
            <w:r/>
            <w:r>
              <w:rPr>
                <w:sz w:val="15"/>
              </w:rPr>
              <w:t>0.98 (0.97–1.00)</w:t>
            </w:r>
          </w:p>
        </w:tc>
        <w:tc>
          <w:tcPr>
            <w:tcW w:type="dxa" w:w="1417"/>
          </w:tcPr>
          <w:p>
            <w:pPr>
              <w:spacing w:after="0" w:line="240" w:lineRule="auto"/>
              <w:jc w:val="center"/>
            </w:pPr>
            <w:r>
              <w:rPr>
                <w:b/>
              </w:rPr>
            </w:r>
            <w:r>
              <w:rPr>
                <w:b/>
                <w:sz w:val="15"/>
              </w:rPr>
              <w:t>0.94 (0.91–0.96)</w:t>
            </w:r>
          </w:p>
        </w:tc>
        <w:tc>
          <w:tcPr>
            <w:tcW w:type="dxa" w:w="1417"/>
          </w:tcPr>
          <w:p>
            <w:pPr>
              <w:spacing w:after="0" w:line="240" w:lineRule="auto"/>
              <w:jc w:val="center"/>
            </w:pPr>
            <w:r/>
            <w:r>
              <w:rPr>
                <w:sz w:val="15"/>
              </w:rPr>
              <w:t>0.95 (0.93–0.98)</w:t>
            </w:r>
          </w:p>
        </w:tc>
        <w:tc>
          <w:tcPr>
            <w:tcW w:type="dxa" w:w="1417"/>
          </w:tcPr>
          <w:p>
            <w:pPr>
              <w:spacing w:after="0" w:line="240" w:lineRule="auto"/>
              <w:jc w:val="center"/>
            </w:pPr>
            <w:r/>
            <w:r>
              <w:rPr>
                <w:sz w:val="15"/>
              </w:rPr>
              <w:t>0.95 (0.93–0.98)</w:t>
            </w:r>
          </w:p>
        </w:tc>
        <w:tc>
          <w:tcPr>
            <w:tcW w:type="dxa" w:w="1417"/>
          </w:tcPr>
          <w:p>
            <w:pPr>
              <w:spacing w:after="0" w:line="240" w:lineRule="auto"/>
              <w:jc w:val="center"/>
            </w:pPr>
            <w:r/>
            <w:r>
              <w:rPr>
                <w:sz w:val="15"/>
              </w:rPr>
              <w:t>0.96 (0.94–0.99)</w:t>
            </w:r>
          </w:p>
        </w:tc>
      </w:tr>
      <w:tr>
        <w:tc>
          <w:tcPr>
            <w:tcW w:type="dxa" w:w="3402"/>
          </w:tcPr>
          <w:p>
            <w:pPr>
              <w:spacing w:after="0" w:line="240" w:lineRule="auto"/>
            </w:pPr>
            <w:r>
              <w:rPr>
                <w:b/>
              </w:rPr>
            </w:r>
            <w:r>
              <w:rPr>
                <w:b/>
                <w:sz w:val="15"/>
              </w:rPr>
              <w:t>Fatty acids, % of total fatty acids</w:t>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c>
          <w:tcPr>
            <w:tcW w:type="dxa" w:w="1417"/>
          </w:tcPr>
          <w:p>
            <w:pPr>
              <w:spacing w:after="0" w:line="240" w:lineRule="auto"/>
              <w:jc w:val="center"/>
            </w:pPr>
            <w:r>
              <w:rPr>
                <w:b/>
              </w:rPr>
            </w:r>
          </w:p>
        </w:tc>
      </w:tr>
      <w:tr>
        <w:tc>
          <w:tcPr>
            <w:tcW w:type="dxa" w:w="3402"/>
          </w:tcPr>
          <w:p>
            <w:pPr>
              <w:spacing w:after="0" w:line="240" w:lineRule="auto"/>
              <w:ind w:left="227"/>
            </w:pPr>
            <w:r/>
            <w:r>
              <w:rPr>
                <w:sz w:val="15"/>
              </w:rPr>
              <w:t>Linoleic acid</w:t>
            </w:r>
          </w:p>
        </w:tc>
        <w:tc>
          <w:tcPr>
            <w:tcW w:type="dxa" w:w="1417"/>
          </w:tcPr>
          <w:p>
            <w:pPr>
              <w:spacing w:after="0" w:line="240" w:lineRule="auto"/>
              <w:jc w:val="center"/>
            </w:pPr>
            <w:r>
              <w:rPr>
                <w:b/>
              </w:rPr>
            </w:r>
            <w:r>
              <w:rPr>
                <w:b/>
                <w:sz w:val="15"/>
              </w:rPr>
              <w:t>0.89 (0.88–0.91)</w:t>
            </w:r>
          </w:p>
        </w:tc>
        <w:tc>
          <w:tcPr>
            <w:tcW w:type="dxa" w:w="1417"/>
          </w:tcPr>
          <w:p>
            <w:pPr>
              <w:spacing w:after="0" w:line="240" w:lineRule="auto"/>
              <w:jc w:val="center"/>
            </w:pPr>
            <w:r>
              <w:rPr>
                <w:b/>
              </w:rPr>
            </w:r>
            <w:r>
              <w:rPr>
                <w:b/>
                <w:sz w:val="15"/>
              </w:rPr>
              <w:t>0.91 (0.89–0.93)</w:t>
            </w:r>
          </w:p>
        </w:tc>
        <w:tc>
          <w:tcPr>
            <w:tcW w:type="dxa" w:w="1417"/>
          </w:tcPr>
          <w:p>
            <w:pPr>
              <w:spacing w:after="0" w:line="240" w:lineRule="auto"/>
              <w:jc w:val="center"/>
            </w:pPr>
            <w:r>
              <w:rPr>
                <w:b/>
              </w:rPr>
            </w:r>
            <w:r>
              <w:rPr>
                <w:b/>
                <w:sz w:val="15"/>
              </w:rPr>
              <w:t>0.92 (0.90–0.94)</w:t>
            </w:r>
          </w:p>
        </w:tc>
        <w:tc>
          <w:tcPr>
            <w:tcW w:type="dxa" w:w="1417"/>
          </w:tcPr>
          <w:p>
            <w:pPr>
              <w:spacing w:after="0" w:line="240" w:lineRule="auto"/>
              <w:jc w:val="center"/>
            </w:pPr>
            <w:r>
              <w:rPr>
                <w:b/>
              </w:rPr>
            </w:r>
            <w:r>
              <w:rPr>
                <w:b/>
                <w:sz w:val="15"/>
              </w:rPr>
              <w:t>0.93 (0.91–0.95)</w:t>
            </w:r>
          </w:p>
        </w:tc>
        <w:tc>
          <w:tcPr>
            <w:tcW w:type="dxa" w:w="1417"/>
          </w:tcPr>
          <w:p>
            <w:pPr>
              <w:spacing w:after="0" w:line="240" w:lineRule="auto"/>
              <w:jc w:val="center"/>
            </w:pPr>
            <w:r>
              <w:rPr>
                <w:b/>
              </w:rPr>
            </w:r>
            <w:r>
              <w:rPr>
                <w:b/>
                <w:sz w:val="15"/>
              </w:rPr>
              <w:t>0.89 (0.87–0.92)</w:t>
            </w:r>
          </w:p>
        </w:tc>
        <w:tc>
          <w:tcPr>
            <w:tcW w:type="dxa" w:w="1417"/>
          </w:tcPr>
          <w:p>
            <w:pPr>
              <w:spacing w:after="0" w:line="240" w:lineRule="auto"/>
              <w:jc w:val="center"/>
            </w:pPr>
            <w:r>
              <w:rPr>
                <w:b/>
              </w:rPr>
            </w:r>
            <w:r>
              <w:rPr>
                <w:b/>
                <w:sz w:val="15"/>
              </w:rPr>
              <w:t>0.92 (0.90–0.95)</w:t>
            </w:r>
          </w:p>
        </w:tc>
        <w:tc>
          <w:tcPr>
            <w:tcW w:type="dxa" w:w="1417"/>
          </w:tcPr>
          <w:p>
            <w:pPr>
              <w:spacing w:after="0" w:line="240" w:lineRule="auto"/>
              <w:jc w:val="center"/>
            </w:pPr>
            <w:r>
              <w:rPr>
                <w:b/>
              </w:rPr>
            </w:r>
            <w:r>
              <w:rPr>
                <w:b/>
                <w:sz w:val="15"/>
              </w:rPr>
              <w:t>0.94 (0.91–0.96)</w:t>
            </w:r>
          </w:p>
        </w:tc>
        <w:tc>
          <w:tcPr>
            <w:tcW w:type="dxa" w:w="1417"/>
          </w:tcPr>
          <w:p>
            <w:pPr>
              <w:spacing w:after="0" w:line="240" w:lineRule="auto"/>
              <w:jc w:val="center"/>
            </w:pPr>
            <w:r/>
            <w:r>
              <w:rPr>
                <w:sz w:val="15"/>
              </w:rPr>
              <w:t>0.96 (0.93–0.98)</w:t>
            </w:r>
          </w:p>
        </w:tc>
      </w:tr>
      <w:tr>
        <w:tc>
          <w:tcPr>
            <w:tcW w:type="dxa" w:w="3402"/>
          </w:tcPr>
          <w:p>
            <w:pPr>
              <w:spacing w:after="0" w:line="240" w:lineRule="auto"/>
              <w:ind w:left="227"/>
            </w:pPr>
            <w:r/>
            <w:r>
              <w:rPr>
                <w:sz w:val="15"/>
              </w:rPr>
              <w:t>Omega-6 fatty acids</w:t>
            </w:r>
          </w:p>
        </w:tc>
        <w:tc>
          <w:tcPr>
            <w:tcW w:type="dxa" w:w="1417"/>
          </w:tcPr>
          <w:p>
            <w:pPr>
              <w:spacing w:after="0" w:line="240" w:lineRule="auto"/>
              <w:jc w:val="center"/>
            </w:pPr>
            <w:r>
              <w:rPr>
                <w:b/>
              </w:rPr>
            </w:r>
            <w:r>
              <w:rPr>
                <w:b/>
                <w:sz w:val="15"/>
              </w:rPr>
              <w:t>0.91 (0.89–0.93)</w:t>
            </w:r>
          </w:p>
        </w:tc>
        <w:tc>
          <w:tcPr>
            <w:tcW w:type="dxa" w:w="1417"/>
          </w:tcPr>
          <w:p>
            <w:pPr>
              <w:spacing w:after="0" w:line="240" w:lineRule="auto"/>
              <w:jc w:val="center"/>
            </w:pPr>
            <w:r>
              <w:rPr>
                <w:b/>
              </w:rPr>
            </w:r>
            <w:r>
              <w:rPr>
                <w:b/>
                <w:sz w:val="15"/>
              </w:rPr>
              <w:t>0.93 (0.91–0.95)</w:t>
            </w:r>
          </w:p>
        </w:tc>
        <w:tc>
          <w:tcPr>
            <w:tcW w:type="dxa" w:w="1417"/>
          </w:tcPr>
          <w:p>
            <w:pPr>
              <w:spacing w:after="0" w:line="240" w:lineRule="auto"/>
              <w:jc w:val="center"/>
            </w:pPr>
            <w:r>
              <w:rPr>
                <w:b/>
              </w:rPr>
            </w:r>
            <w:r>
              <w:rPr>
                <w:b/>
                <w:sz w:val="15"/>
              </w:rPr>
              <w:t>0.92 (0.91–0.94)</w:t>
            </w:r>
          </w:p>
        </w:tc>
        <w:tc>
          <w:tcPr>
            <w:tcW w:type="dxa" w:w="1417"/>
          </w:tcPr>
          <w:p>
            <w:pPr>
              <w:spacing w:after="0" w:line="240" w:lineRule="auto"/>
              <w:jc w:val="center"/>
            </w:pPr>
            <w:r>
              <w:rPr>
                <w:b/>
              </w:rPr>
            </w:r>
            <w:r>
              <w:rPr>
                <w:b/>
                <w:sz w:val="15"/>
              </w:rPr>
              <w:t>0.94 (0.92–0.96)</w:t>
            </w:r>
          </w:p>
        </w:tc>
        <w:tc>
          <w:tcPr>
            <w:tcW w:type="dxa" w:w="1417"/>
          </w:tcPr>
          <w:p>
            <w:pPr>
              <w:spacing w:after="0" w:line="240" w:lineRule="auto"/>
              <w:jc w:val="center"/>
            </w:pPr>
            <w:r>
              <w:rPr>
                <w:b/>
              </w:rPr>
            </w:r>
            <w:r>
              <w:rPr>
                <w:b/>
                <w:sz w:val="15"/>
              </w:rPr>
              <w:t>0.90 (0.87–0.92)</w:t>
            </w:r>
          </w:p>
        </w:tc>
        <w:tc>
          <w:tcPr>
            <w:tcW w:type="dxa" w:w="1417"/>
          </w:tcPr>
          <w:p>
            <w:pPr>
              <w:spacing w:after="0" w:line="240" w:lineRule="auto"/>
              <w:jc w:val="center"/>
            </w:pPr>
            <w:r>
              <w:rPr>
                <w:b/>
              </w:rPr>
            </w:r>
            <w:r>
              <w:rPr>
                <w:b/>
                <w:sz w:val="15"/>
              </w:rPr>
              <w:t>0.93 (0.90–0.95)</w:t>
            </w:r>
          </w:p>
        </w:tc>
        <w:tc>
          <w:tcPr>
            <w:tcW w:type="dxa" w:w="1417"/>
          </w:tcPr>
          <w:p>
            <w:pPr>
              <w:spacing w:after="0" w:line="240" w:lineRule="auto"/>
              <w:jc w:val="center"/>
            </w:pPr>
            <w:r>
              <w:rPr>
                <w:b/>
              </w:rPr>
            </w:r>
            <w:r>
              <w:rPr>
                <w:b/>
                <w:sz w:val="15"/>
              </w:rPr>
              <w:t>0.93 (0.90–0.95)</w:t>
            </w:r>
          </w:p>
        </w:tc>
        <w:tc>
          <w:tcPr>
            <w:tcW w:type="dxa" w:w="1417"/>
          </w:tcPr>
          <w:p>
            <w:pPr>
              <w:spacing w:after="0" w:line="240" w:lineRule="auto"/>
              <w:jc w:val="center"/>
            </w:pPr>
            <w:r/>
            <w:r>
              <w:rPr>
                <w:sz w:val="15"/>
              </w:rPr>
              <w:t>0.95 (0.92–0.98)</w:t>
            </w:r>
          </w:p>
        </w:tc>
      </w:tr>
      <w:tr>
        <w:tc>
          <w:tcPr>
            <w:tcW w:type="dxa" w:w="3402"/>
          </w:tcPr>
          <w:p>
            <w:pPr>
              <w:spacing w:after="0" w:line="240" w:lineRule="auto"/>
              <w:ind w:left="227"/>
            </w:pPr>
            <w:r/>
            <w:r>
              <w:rPr>
                <w:sz w:val="15"/>
              </w:rPr>
              <w:t>Monounsaturated fatty acids</w:t>
            </w:r>
          </w:p>
        </w:tc>
        <w:tc>
          <w:tcPr>
            <w:tcW w:type="dxa" w:w="1417"/>
          </w:tcPr>
          <w:p>
            <w:pPr>
              <w:spacing w:after="0" w:line="240" w:lineRule="auto"/>
              <w:jc w:val="center"/>
            </w:pPr>
            <w:r>
              <w:rPr>
                <w:b/>
              </w:rPr>
            </w:r>
            <w:r>
              <w:rPr>
                <w:b/>
                <w:sz w:val="15"/>
              </w:rPr>
              <w:t>1.09 (1.07–1.11)</w:t>
            </w:r>
          </w:p>
        </w:tc>
        <w:tc>
          <w:tcPr>
            <w:tcW w:type="dxa" w:w="1417"/>
          </w:tcPr>
          <w:p>
            <w:pPr>
              <w:spacing w:after="0" w:line="240" w:lineRule="auto"/>
              <w:jc w:val="center"/>
            </w:pPr>
            <w:r>
              <w:rPr>
                <w:b/>
              </w:rPr>
            </w:r>
            <w:r>
              <w:rPr>
                <w:b/>
                <w:sz w:val="15"/>
              </w:rPr>
              <w:t>1.06 (1.04–1.08)</w:t>
            </w:r>
          </w:p>
        </w:tc>
        <w:tc>
          <w:tcPr>
            <w:tcW w:type="dxa" w:w="1417"/>
          </w:tcPr>
          <w:p>
            <w:pPr>
              <w:spacing w:after="0" w:line="240" w:lineRule="auto"/>
              <w:jc w:val="center"/>
            </w:pPr>
            <w:r>
              <w:rPr>
                <w:b/>
              </w:rPr>
            </w:r>
            <w:r>
              <w:rPr>
                <w:b/>
                <w:sz w:val="15"/>
              </w:rPr>
              <w:t>1.07 (1.05–1.09)</w:t>
            </w:r>
          </w:p>
        </w:tc>
        <w:tc>
          <w:tcPr>
            <w:tcW w:type="dxa" w:w="1417"/>
          </w:tcPr>
          <w:p>
            <w:pPr>
              <w:spacing w:after="0" w:line="240" w:lineRule="auto"/>
              <w:jc w:val="center"/>
            </w:pPr>
            <w:r>
              <w:rPr>
                <w:b/>
              </w:rPr>
            </w:r>
            <w:r>
              <w:rPr>
                <w:b/>
                <w:sz w:val="15"/>
              </w:rPr>
              <w:t>1.05 (1.03–1.07)</w:t>
            </w:r>
          </w:p>
        </w:tc>
        <w:tc>
          <w:tcPr>
            <w:tcW w:type="dxa" w:w="1417"/>
          </w:tcPr>
          <w:p>
            <w:pPr>
              <w:spacing w:after="0" w:line="240" w:lineRule="auto"/>
              <w:jc w:val="center"/>
            </w:pPr>
            <w:r>
              <w:rPr>
                <w:b/>
              </w:rPr>
            </w:r>
            <w:r>
              <w:rPr>
                <w:b/>
                <w:sz w:val="15"/>
              </w:rPr>
              <w:t>1.16 (1.13–1.19)</w:t>
            </w:r>
          </w:p>
        </w:tc>
        <w:tc>
          <w:tcPr>
            <w:tcW w:type="dxa" w:w="1417"/>
          </w:tcPr>
          <w:p>
            <w:pPr>
              <w:spacing w:after="0" w:line="240" w:lineRule="auto"/>
              <w:jc w:val="center"/>
            </w:pPr>
            <w:r>
              <w:rPr>
                <w:b/>
              </w:rPr>
            </w:r>
            <w:r>
              <w:rPr>
                <w:b/>
                <w:sz w:val="15"/>
              </w:rPr>
              <w:t>1.11 (1.08–1.15)</w:t>
            </w:r>
          </w:p>
        </w:tc>
        <w:tc>
          <w:tcPr>
            <w:tcW w:type="dxa" w:w="1417"/>
          </w:tcPr>
          <w:p>
            <w:pPr>
              <w:spacing w:after="0" w:line="240" w:lineRule="auto"/>
              <w:jc w:val="center"/>
            </w:pPr>
            <w:r>
              <w:rPr>
                <w:b/>
              </w:rPr>
            </w:r>
            <w:r>
              <w:rPr>
                <w:b/>
                <w:sz w:val="15"/>
              </w:rPr>
              <w:t>1.11 (1.08–1.14)</w:t>
            </w:r>
          </w:p>
        </w:tc>
        <w:tc>
          <w:tcPr>
            <w:tcW w:type="dxa" w:w="1417"/>
          </w:tcPr>
          <w:p>
            <w:pPr>
              <w:spacing w:after="0" w:line="240" w:lineRule="auto"/>
              <w:jc w:val="center"/>
            </w:pPr>
            <w:r>
              <w:rPr>
                <w:b/>
              </w:rPr>
            </w:r>
            <w:r>
              <w:rPr>
                <w:b/>
                <w:sz w:val="15"/>
              </w:rPr>
              <w:t>1.08 (1.05–1.11)</w:t>
            </w:r>
          </w:p>
        </w:tc>
      </w:tr>
      <w:tr>
        <w:tc>
          <w:tcPr>
            <w:tcW w:type="dxa" w:w="3402"/>
            <w:tcBorders>
              <w:bottom w:val="single" w:sz="12" w:space="0" w:color="000000"/>
            </w:tcBorders>
          </w:tcPr>
          <w:p>
            <w:pPr>
              <w:spacing w:after="0" w:line="240" w:lineRule="auto"/>
              <w:ind w:left="227"/>
            </w:pPr>
            <w:r/>
            <w:r>
              <w:rPr>
                <w:sz w:val="15"/>
              </w:rPr>
              <w:t>Saturated fatty acids</w:t>
            </w:r>
          </w:p>
        </w:tc>
        <w:tc>
          <w:tcPr>
            <w:tcW w:type="dxa" w:w="1417"/>
            <w:tcBorders>
              <w:bottom w:val="single" w:sz="12" w:space="0" w:color="000000"/>
            </w:tcBorders>
          </w:tcPr>
          <w:p>
            <w:pPr>
              <w:spacing w:after="0" w:line="240" w:lineRule="auto"/>
              <w:jc w:val="center"/>
            </w:pPr>
            <w:r>
              <w:rPr>
                <w:b/>
              </w:rPr>
            </w:r>
            <w:r>
              <w:rPr>
                <w:b/>
                <w:sz w:val="15"/>
              </w:rPr>
              <w:t>1.06 (1.04–1.08)</w:t>
            </w:r>
          </w:p>
        </w:tc>
        <w:tc>
          <w:tcPr>
            <w:tcW w:type="dxa" w:w="1417"/>
            <w:tcBorders>
              <w:bottom w:val="single" w:sz="12" w:space="0" w:color="000000"/>
            </w:tcBorders>
          </w:tcPr>
          <w:p>
            <w:pPr>
              <w:spacing w:after="0" w:line="240" w:lineRule="auto"/>
              <w:jc w:val="center"/>
            </w:pPr>
            <w:r>
              <w:rPr>
                <w:b/>
              </w:rPr>
            </w:r>
            <w:r>
              <w:rPr>
                <w:b/>
                <w:sz w:val="15"/>
              </w:rPr>
              <w:t>1.05 (1.03–1.07)</w:t>
            </w:r>
          </w:p>
        </w:tc>
        <w:tc>
          <w:tcPr>
            <w:tcW w:type="dxa" w:w="1417"/>
            <w:tcBorders>
              <w:bottom w:val="single" w:sz="12" w:space="0" w:color="000000"/>
            </w:tcBorders>
          </w:tcPr>
          <w:p>
            <w:pPr>
              <w:spacing w:after="0" w:line="240" w:lineRule="auto"/>
              <w:jc w:val="center"/>
            </w:pPr>
            <w:r>
              <w:rPr>
                <w:b/>
              </w:rPr>
            </w:r>
            <w:r>
              <w:rPr>
                <w:b/>
                <w:sz w:val="15"/>
              </w:rPr>
              <w:t>1.06 (1.04–1.08)</w:t>
            </w:r>
          </w:p>
        </w:tc>
        <w:tc>
          <w:tcPr>
            <w:tcW w:type="dxa" w:w="1417"/>
            <w:tcBorders>
              <w:bottom w:val="single" w:sz="12" w:space="0" w:color="000000"/>
            </w:tcBorders>
          </w:tcPr>
          <w:p>
            <w:pPr>
              <w:spacing w:after="0" w:line="240" w:lineRule="auto"/>
              <w:jc w:val="center"/>
            </w:pPr>
            <w:r>
              <w:rPr>
                <w:b/>
              </w:rPr>
            </w:r>
            <w:r>
              <w:rPr>
                <w:b/>
                <w:sz w:val="15"/>
              </w:rPr>
              <w:t>1.05 (1.03–1.07)</w:t>
            </w:r>
          </w:p>
        </w:tc>
        <w:tc>
          <w:tcPr>
            <w:tcW w:type="dxa" w:w="1417"/>
            <w:tcBorders>
              <w:bottom w:val="single" w:sz="12" w:space="0" w:color="000000"/>
            </w:tcBorders>
          </w:tcPr>
          <w:p>
            <w:pPr>
              <w:spacing w:after="0" w:line="240" w:lineRule="auto"/>
              <w:jc w:val="center"/>
            </w:pPr>
            <w:r/>
            <w:r>
              <w:rPr>
                <w:sz w:val="15"/>
              </w:rPr>
              <w:t>1.03 (1.00–1.05)</w:t>
            </w:r>
          </w:p>
        </w:tc>
        <w:tc>
          <w:tcPr>
            <w:tcW w:type="dxa" w:w="1417"/>
            <w:tcBorders>
              <w:bottom w:val="single" w:sz="12" w:space="0" w:color="000000"/>
            </w:tcBorders>
          </w:tcPr>
          <w:p>
            <w:pPr>
              <w:spacing w:after="0" w:line="240" w:lineRule="auto"/>
              <w:jc w:val="center"/>
            </w:pPr>
            <w:r/>
            <w:r>
              <w:rPr>
                <w:sz w:val="15"/>
              </w:rPr>
              <w:t>1.02 (0.99–1.04)</w:t>
            </w:r>
          </w:p>
        </w:tc>
        <w:tc>
          <w:tcPr>
            <w:tcW w:type="dxa" w:w="1417"/>
            <w:tcBorders>
              <w:bottom w:val="single" w:sz="12" w:space="0" w:color="000000"/>
            </w:tcBorders>
          </w:tcPr>
          <w:p>
            <w:pPr>
              <w:spacing w:after="0" w:line="240" w:lineRule="auto"/>
              <w:jc w:val="center"/>
            </w:pPr>
            <w:r/>
            <w:r>
              <w:rPr>
                <w:sz w:val="15"/>
              </w:rPr>
              <w:t>1.01 (0.99–1.04)</w:t>
            </w:r>
          </w:p>
        </w:tc>
        <w:tc>
          <w:tcPr>
            <w:tcW w:type="dxa" w:w="1417"/>
            <w:tcBorders>
              <w:bottom w:val="single" w:sz="12" w:space="0" w:color="000000"/>
            </w:tcBorders>
          </w:tcPr>
          <w:p>
            <w:pPr>
              <w:spacing w:after="0" w:line="240" w:lineRule="auto"/>
              <w:jc w:val="center"/>
            </w:pPr>
            <w:r/>
            <w:r>
              <w:rPr>
                <w:sz w:val="15"/>
              </w:rPr>
              <w:t>1.00 (0.98–1.03)</w:t>
            </w:r>
          </w:p>
        </w:tc>
      </w:tr>
    </w:tbl>
    <w:p>
      <w:pPr>
        <w:spacing w:line="276" w:lineRule="auto"/>
      </w:pPr>
      <w:r>
        <w:rPr>
          <w:sz w:val="16"/>
        </w:rPr>
        <w:t>Same complete-case sample for all models (colon polyp: 240,720 participants, 13,822 events; stomach/duodenal polyp: 241,891, 6,370). Model 1: age, sex, Townsend deprivation index, body mass index, systolic and diastolic blood pressure, smoking and alcohol drinking. Model 2: Model 1 plus waist circumference, body fat percentage, HbA1c and C-reactive protein. Model 3: Model 1 plus prior hospital diagnoses (log number of ICD-10 codes; disorders of lipoprotein metabolism, ischaemic heart disease, hypertension, diabetes, reflux disease, gastritis or ulcer). Model 4: Models 2 and 3 combined. Metabolites were rank-normalised and standardised. Bold: P &lt; 0.05 after Bonferroni correction across 251 metabolites. Results for all 251 metabolites are in Table S1 and Figure 3.</w:t>
      </w:r>
    </w:p>
    <w:p>
      <w:pPr>
        <w:sectPr>
          <w:pgSz w:w="15840" w:h="12240" w:orient="landscape"/>
          <w:pgMar w:top="1417" w:right="1020" w:bottom="1417" w:left="1020" w:header="720" w:footer="720" w:gutter="0"/>
          <w:cols w:space="720"/>
          <w:docGrid w:linePitch="360"/>
        </w:sectPr>
      </w:pPr>
    </w:p>
    <w:p>
      <w:pPr>
        <w:pStyle w:val="Heading1"/>
      </w:pPr>
      <w:r>
        <w:t>Figure legends</w:t>
      </w:r>
    </w:p>
    <w:p>
      <w:r>
        <w:rPr>
          <w:b/>
          <w:sz w:val="20"/>
        </w:rPr>
        <w:t>Figure 1. Metabolome-wide associations of 251 NMR metabolites with incident colon polyp and stomach/duodenal polyp.</w:t>
      </w:r>
      <w:r>
        <w:rPr>
          <w:sz w:val="20"/>
        </w:rPr>
        <w:t xml:space="preserve"> Each point is one metabolite. The x axis shows the natural-log hazard ratio per 1 SD from Cox models adjusted for age, sex, Townsend deprivation index, body mass index, blood pressure, smoking and alcohol drinking; the y axis shows −log10 P. Orange and blue points are metabolites with higher and lower risk that are significant after Bonferroni correction (dotted line, P &lt; 0.05/251); grey points are not significant. The five strongest metabolites in each direction are labelled.</w:t>
      </w:r>
    </w:p>
    <w:p>
      <w:r>
        <w:rPr>
          <w:b/>
          <w:sz w:val="20"/>
        </w:rPr>
        <w:t>Figure 2. Bonferroni-significant metabolites by metabolite class.</w:t>
      </w:r>
      <w:r>
        <w:rPr>
          <w:sz w:val="20"/>
        </w:rPr>
        <w:t xml:space="preserve"> Bars to the right of zero count metabolites associated with higher risk and bars to the left those associated with lower risk, for colon polyp (left) and stomach/duodenal polyp (right).</w:t>
      </w:r>
    </w:p>
    <w:p>
      <w:r>
        <w:rPr>
          <w:b/>
          <w:sz w:val="20"/>
        </w:rPr>
        <w:t>Figure 3. Hazard ratios of all 251 metabolites for (A) colon polyp and (B) stomach/duodenal polyp.</w:t>
      </w:r>
      <w:r>
        <w:rPr>
          <w:sz w:val="20"/>
        </w:rPr>
        <w:t xml:space="preserve"> Bars start at HR = 1 (inner black circle) and extend outwards for HR &gt; 1 (red) and inwards for HR &lt; 1 (blue); black lines are 95% confidence intervals; faded bars are not significant after Bonferroni correction; stars denote Bonferroni-adjusted P &lt; 0.05 (</w:t>
      </w:r>
      <w:r>
        <w:rPr>
          <w:i/>
          <w:sz w:val="20"/>
        </w:rPr>
        <w:t>), &lt; 0.01 (</w:t>
      </w:r>
      <w:r>
        <w:rPr>
          <w:i/>
          <w:sz w:val="20"/>
        </w:rPr>
        <w:t>) and &lt; 0.001 (</w:t>
      </w:r>
      <w:r>
        <w:rPr>
          <w:b/>
          <w:sz w:val="20"/>
        </w:rPr>
        <w:t>). Hazard ratios are per 1 SD (scale 0.80–1.20). Metabolites are grouped as lipoprotein particles, total lipids, phospholipids, cholesterol, esterified cholesterol, free cholesterol, triglycerides, lipid composition (% of subclass lipids), sizes/apolipoproteins/other, fatty acids, and amino acids/glycolysis/ketone bodies/fluid balance. Within the lipoprotein groups, subclasses run from extremely large (XXL) to small (S) VLDL, IDL, LDL and HDL, followed by class total</w:t>
      </w:r>
    </w:p>
    <w:p>
      <w:r>
        <w:rPr>
          <w:b/>
          <w:sz w:val="20"/>
        </w:rPr>
        <w:t>Figure 4. Consistency of associations between outcomes and between prevalent and incident disease.</w:t>
      </w:r>
      <w:r>
        <w:rPr>
          <w:sz w:val="20"/>
        </w:rPr>
        <w:t xml:space="preserve"> Left, natural-log hazard ratios per SD for colon polyp against stomach/duodenal polyp; orange points are significant for both outcomes after Bonferroni correction. Right, natural-log odds ratio of prevalent colon polyp at baseline (logistic regression) against the natural-log hazard ratio of incident colon polyp.</w:t>
      </w:r>
    </w:p>
    <w:p>
      <w:r>
        <w:rPr>
          <w:b/>
          <w:sz w:val="20"/>
        </w:rPr>
        <w:t>Figure 5. Sex and age strata, and exclusion of early events.</w:t>
      </w:r>
      <w:r>
        <w:rPr>
          <w:sz w:val="20"/>
        </w:rPr>
        <w:t xml:space="preserve"> (A, B) Circular heat rings of natural-log hazard ratios per SD for all 251 metabolites in colon polyp (A) and stomach/duodenal polyp (B); rings from the centre outwards show the overall analysis, women, men, participants younger than 60 years and participants aged 60 years or older. Faded cells are not significant after Bonferroni correction within the ring. (C) Natural-log hazard ratios after excluding events in the first 2 years against the main analysis.</w:t>
      </w:r>
    </w:p>
    <w:p>
      <w:r>
        <w:rPr>
          <w:b/>
          <w:sz w:val="20"/>
        </w:rPr>
        <w:t>Figure 6. Participants with both polyp types.</w:t>
      </w:r>
      <w:r>
        <w:rPr>
          <w:sz w:val="20"/>
        </w:rPr>
        <w:t xml:space="preserve"> (A) Numbers of participants with incident colon polyp only, stomach/duodenal polyp only, and both. (B) Odds ratios per SD of all 251 metabolites comparing participants with both polyps (n = 1,110) with participants with one polyp; bars start at OR = 1 (scale 0.70–1.30), with stars as in Figure 3.</w:t>
      </w:r>
    </w:p>
    <w:p>
      <w:r>
        <w:rPr>
          <w:b/>
          <w:sz w:val="20"/>
        </w:rPr>
        <w:t>Figure 7. Receiver operating characteristic curves for polyp prediction.</w:t>
      </w:r>
      <w:r>
        <w:rPr>
          <w:sz w:val="20"/>
        </w:rPr>
        <w:t xml:space="preserve"> Left, out-of-fold curves from 5-fold cross-validation for the best binary model (elastic-net logistic regression); middle and right, time-dependent curves at 5 and 10 years for the penalised Cox model in the 30% test set. Feature sets: covariates only; covariates plus metabolites passing Bonferroni correction in the training data; covariates plus all 251 metabolites. Areas under the curves are given in the legends. Top row, colon polyp; bottom row, stomach/duodenal polyp.</w:t>
      </w:r>
    </w:p>
    <w:p>
      <w:r>
        <w:rPr>
          <w:b/>
          <w:sz w:val="20"/>
        </w:rPr>
        <w:t>Figure 8. Hazard ratios of all 251 metabolites under increasing adjustment in the same participants.</w:t>
      </w:r>
      <w:r>
        <w:rPr>
          <w:sz w:val="20"/>
        </w:rPr>
        <w:t xml:space="preserve"> Circular heat rings for (A) colon polyp and (B) stomach/duodenal polyp; rings from the centre outwards show Model 1, plus waist circumference and body fat percentage, plus HbA1c and C-reactive protein, plus prior hospital diagnoses, and all adjustments together. Faded cells are not significant after Bonferroni correction within the ring.</w:t>
      </w:r>
    </w:p>
    <w:p>
      <w:r>
        <w:rPr>
          <w:b/>
          <w:sz w:val="20"/>
        </w:rPr>
        <w:t>Figure 9. Specificity of the metabolite profile among digestive outcomes.</w:t>
      </w:r>
      <w:r>
        <w:rPr>
          <w:sz w:val="20"/>
        </w:rPr>
        <w:t xml:space="preserve"> Left, correlation between the 251 natural-log hazard ratios of each outcome and those of colon polyp (orange) and stomach/duodenal polyp (blue); numbers of incident events are in brackets. Right, mean natural-log hazard ratio per SD by metabolite class for each outcome, with outcomes ordered by hierarchical clustering.</w:t>
      </w:r>
    </w:p>
    <w:p>
      <w:r>
        <w:rPr>
          <w:b/>
          <w:sz w:val="20"/>
        </w:rPr>
        <w:t>Figure 10. Metabolite risk score in the independent test set.</w:t>
      </w:r>
      <w:r>
        <w:rPr>
          <w:sz w:val="20"/>
        </w:rPr>
        <w:t xml:space="preserve"> Top, cumulative incidence by score quartile; bottom, hazard ratios (95% CI) of quartiles 2–4 versus quartile 1. Colon polyp, left; stomach/duodenal polyp, right. Panel titles give the hazard ratio per SD and the P value for trend.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Times New Roman" w:hAnsi="Times New Roman" w:eastAsia="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