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/>
      </w:pPr>
      <w:r>
        <w:rPr>
          <w:b/>
          <w:sz w:val="20"/>
        </w:rPr>
        <w:t>Table 1.</w:t>
      </w:r>
      <w:r>
        <w:rPr>
          <w:sz w:val="20"/>
        </w:rPr>
        <w:t xml:space="preserve"> Baseline characteristics of UK Biobank participants by incident colon polyp and incident stomach/duodenal polyp status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33"/>
        <w:gridCol w:w="1533"/>
        <w:gridCol w:w="1533"/>
        <w:gridCol w:w="1533"/>
        <w:gridCol w:w="1533"/>
        <w:gridCol w:w="1533"/>
        <w:gridCol w:w="1533"/>
        <w:gridCol w:w="1533"/>
        <w:gridCol w:w="1533"/>
      </w:tblGrid>
      <w:tr>
        <w:tc>
          <w:tcPr>
            <w:tcW w:type="dxa" w:w="3515"/>
            <w:tcBorders>
              <w:top w:val="single" w:sz="12" w:space="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b/>
              </w:rPr>
            </w:r>
            <w:r>
              <w:rPr>
                <w:b/>
                <w:sz w:val="15"/>
              </w:rPr>
              <w:t>Characteristic</w:t>
            </w:r>
          </w:p>
        </w:tc>
        <w:tc>
          <w:tcPr>
            <w:tcW w:type="dxa" w:w="4478"/>
            <w:gridSpan w:val="4"/>
            <w:tcBorders>
              <w:top w:val="single" w:sz="12" w:space="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b/>
              </w:rPr>
            </w:r>
            <w:r>
              <w:rPr>
                <w:b/>
                <w:sz w:val="15"/>
              </w:rPr>
              <w:t>Colon polyp (K63.5)</w:t>
            </w:r>
          </w:p>
          <w:p>
            <w:pPr>
              <w:spacing w:after="0" w:line="240" w:lineRule="auto"/>
              <w:jc w:val="center"/>
            </w:pPr>
            <w:r>
              <w:rPr>
                <w:b/>
              </w:rPr>
            </w:r>
          </w:p>
          <w:p>
            <w:pPr>
              <w:spacing w:after="0" w:line="240" w:lineRule="auto"/>
              <w:jc w:val="center"/>
            </w:pPr>
            <w:r>
              <w:rPr>
                <w:b/>
              </w:rPr>
            </w:r>
          </w:p>
          <w:p>
            <w:pPr>
              <w:spacing w:after="0" w:line="240" w:lineRule="auto"/>
              <w:jc w:val="center"/>
            </w:pPr>
            <w:r>
              <w:rPr>
                <w:b/>
              </w:rPr>
            </w:r>
          </w:p>
        </w:tc>
        <w:tc>
          <w:tcPr>
            <w:tcW w:type="dxa" w:w="4478"/>
            <w:gridSpan w:val="4"/>
            <w:tcBorders>
              <w:top w:val="single" w:sz="12" w:space="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b/>
              </w:rPr>
            </w:r>
            <w:r>
              <w:rPr>
                <w:b/>
                <w:sz w:val="15"/>
              </w:rPr>
              <w:t>Stomach/duodenal polyp (K31.7)</w:t>
            </w:r>
          </w:p>
          <w:p>
            <w:pPr>
              <w:spacing w:after="0" w:line="240" w:lineRule="auto"/>
              <w:jc w:val="center"/>
            </w:pPr>
            <w:r>
              <w:rPr>
                <w:b/>
              </w:rPr>
            </w:r>
          </w:p>
          <w:p>
            <w:pPr>
              <w:spacing w:after="0" w:line="240" w:lineRule="auto"/>
              <w:jc w:val="center"/>
            </w:pPr>
            <w:r>
              <w:rPr>
                <w:b/>
              </w:rPr>
            </w:r>
          </w:p>
          <w:p>
            <w:pPr>
              <w:spacing w:after="0" w:line="240" w:lineRule="auto"/>
              <w:jc w:val="center"/>
            </w:pPr>
            <w:r>
              <w:rPr>
                <w:b/>
              </w:rPr>
            </w:r>
          </w:p>
        </w:tc>
      </w:tr>
      <w:tr>
        <w:tc>
          <w:tcPr>
            <w:tcW w:type="dxa" w:w="3515"/>
            <w:tcBorders>
              <w:bottom w:val="single" w:sz="6" w:space="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b/>
              </w:rPr>
            </w:r>
          </w:p>
        </w:tc>
        <w:tc>
          <w:tcPr>
            <w:tcW w:type="dxa" w:w="1247"/>
            <w:tcBorders>
              <w:bottom w:val="single" w:sz="6" w:space="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b/>
              </w:rPr>
            </w:r>
            <w:r>
              <w:rPr>
                <w:b/>
                <w:sz w:val="15"/>
              </w:rPr>
              <w:t>All participants</w:t>
              <w:br/>
              <w:t>(n = 272,310)</w:t>
            </w:r>
          </w:p>
        </w:tc>
        <w:tc>
          <w:tcPr>
            <w:tcW w:type="dxa" w:w="1247"/>
            <w:tcBorders>
              <w:bottom w:val="single" w:sz="6" w:space="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b/>
              </w:rPr>
            </w:r>
            <w:r>
              <w:rPr>
                <w:b/>
                <w:sz w:val="15"/>
              </w:rPr>
              <w:t>Incident polyp</w:t>
              <w:br/>
              <w:t>(n = 15,677)</w:t>
            </w:r>
          </w:p>
        </w:tc>
        <w:tc>
          <w:tcPr>
            <w:tcW w:type="dxa" w:w="1247"/>
            <w:tcBorders>
              <w:bottom w:val="single" w:sz="6" w:space="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b/>
              </w:rPr>
            </w:r>
            <w:r>
              <w:rPr>
                <w:b/>
                <w:sz w:val="15"/>
              </w:rPr>
              <w:t>No polyp</w:t>
              <w:br/>
              <w:t>(n = 256,633)</w:t>
            </w:r>
          </w:p>
        </w:tc>
        <w:tc>
          <w:tcPr>
            <w:tcW w:type="dxa" w:w="737"/>
            <w:tcBorders>
              <w:bottom w:val="single" w:sz="6" w:space="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b/>
              </w:rPr>
            </w:r>
            <w:r>
              <w:rPr>
                <w:b/>
                <w:sz w:val="15"/>
              </w:rPr>
              <w:t>P</w:t>
            </w:r>
          </w:p>
        </w:tc>
        <w:tc>
          <w:tcPr>
            <w:tcW w:type="dxa" w:w="1247"/>
            <w:tcBorders>
              <w:bottom w:val="single" w:sz="6" w:space="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b/>
              </w:rPr>
            </w:r>
            <w:r>
              <w:rPr>
                <w:b/>
                <w:sz w:val="15"/>
              </w:rPr>
              <w:t>All participants</w:t>
              <w:br/>
              <w:t>(n = 273,634)</w:t>
            </w:r>
          </w:p>
        </w:tc>
        <w:tc>
          <w:tcPr>
            <w:tcW w:type="dxa" w:w="1247"/>
            <w:tcBorders>
              <w:bottom w:val="single" w:sz="6" w:space="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b/>
              </w:rPr>
            </w:r>
            <w:r>
              <w:rPr>
                <w:b/>
                <w:sz w:val="15"/>
              </w:rPr>
              <w:t>Incident polyp</w:t>
              <w:br/>
              <w:t>(n = 7,213)</w:t>
            </w:r>
          </w:p>
        </w:tc>
        <w:tc>
          <w:tcPr>
            <w:tcW w:type="dxa" w:w="1247"/>
            <w:tcBorders>
              <w:bottom w:val="single" w:sz="6" w:space="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b/>
              </w:rPr>
            </w:r>
            <w:r>
              <w:rPr>
                <w:b/>
                <w:sz w:val="15"/>
              </w:rPr>
              <w:t>No polyp</w:t>
              <w:br/>
              <w:t>(n = 266,421)</w:t>
            </w:r>
          </w:p>
        </w:tc>
        <w:tc>
          <w:tcPr>
            <w:tcW w:type="dxa" w:w="737"/>
            <w:tcBorders>
              <w:bottom w:val="single" w:sz="6" w:space="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b/>
              </w:rPr>
            </w:r>
            <w:r>
              <w:rPr>
                <w:b/>
                <w:sz w:val="15"/>
              </w:rPr>
              <w:t>P</w:t>
            </w:r>
          </w:p>
        </w:tc>
      </w:tr>
      <w:tr>
        <w:tc>
          <w:tcPr>
            <w:tcW w:type="dxa" w:w="3515"/>
          </w:tcPr>
          <w:p>
            <w:pPr>
              <w:spacing w:after="0" w:line="240" w:lineRule="auto"/>
            </w:pPr>
            <w:r/>
            <w:r>
              <w:rPr>
                <w:sz w:val="15"/>
              </w:rPr>
              <w:t>Age at recruitment, years</w:t>
            </w:r>
          </w:p>
        </w:tc>
        <w:tc>
          <w:tcPr>
            <w:tcW w:type="dxa" w:w="1247"/>
          </w:tcPr>
          <w:p>
            <w:pPr>
              <w:spacing w:after="0" w:line="240" w:lineRule="auto"/>
              <w:jc w:val="center"/>
            </w:pPr>
            <w:r/>
            <w:r>
              <w:rPr>
                <w:sz w:val="15"/>
              </w:rPr>
              <w:t>56.5 (8.1)</w:t>
            </w:r>
          </w:p>
        </w:tc>
        <w:tc>
          <w:tcPr>
            <w:tcW w:type="dxa" w:w="1247"/>
          </w:tcPr>
          <w:p>
            <w:pPr>
              <w:spacing w:after="0" w:line="240" w:lineRule="auto"/>
              <w:jc w:val="center"/>
            </w:pPr>
            <w:r/>
            <w:r>
              <w:rPr>
                <w:sz w:val="15"/>
              </w:rPr>
              <w:t>58.6 (7.3)</w:t>
            </w:r>
          </w:p>
        </w:tc>
        <w:tc>
          <w:tcPr>
            <w:tcW w:type="dxa" w:w="1247"/>
          </w:tcPr>
          <w:p>
            <w:pPr>
              <w:spacing w:after="0" w:line="240" w:lineRule="auto"/>
              <w:jc w:val="center"/>
            </w:pPr>
            <w:r/>
            <w:r>
              <w:rPr>
                <w:sz w:val="15"/>
              </w:rPr>
              <w:t>56.4 (8.1)</w:t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sz w:val="15"/>
              </w:rPr>
              <w:t>&lt;0.001</w:t>
            </w:r>
          </w:p>
        </w:tc>
        <w:tc>
          <w:tcPr>
            <w:tcW w:type="dxa" w:w="1247"/>
          </w:tcPr>
          <w:p>
            <w:pPr>
              <w:spacing w:after="0" w:line="240" w:lineRule="auto"/>
              <w:jc w:val="center"/>
            </w:pPr>
            <w:r/>
            <w:r>
              <w:rPr>
                <w:sz w:val="15"/>
              </w:rPr>
              <w:t>56.6 (8.1)</w:t>
            </w:r>
          </w:p>
        </w:tc>
        <w:tc>
          <w:tcPr>
            <w:tcW w:type="dxa" w:w="1247"/>
          </w:tcPr>
          <w:p>
            <w:pPr>
              <w:spacing w:after="0" w:line="240" w:lineRule="auto"/>
              <w:jc w:val="center"/>
            </w:pPr>
            <w:r/>
            <w:r>
              <w:rPr>
                <w:sz w:val="15"/>
              </w:rPr>
              <w:t>59.5 (6.9)</w:t>
            </w:r>
          </w:p>
        </w:tc>
        <w:tc>
          <w:tcPr>
            <w:tcW w:type="dxa" w:w="1247"/>
          </w:tcPr>
          <w:p>
            <w:pPr>
              <w:spacing w:after="0" w:line="240" w:lineRule="auto"/>
              <w:jc w:val="center"/>
            </w:pPr>
            <w:r/>
            <w:r>
              <w:rPr>
                <w:sz w:val="15"/>
              </w:rPr>
              <w:t>56.5 (8.1)</w:t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sz w:val="15"/>
              </w:rPr>
              <w:t>&lt;0.001</w:t>
            </w:r>
          </w:p>
        </w:tc>
      </w:tr>
      <w:tr>
        <w:tc>
          <w:tcPr>
            <w:tcW w:type="dxa" w:w="3515"/>
          </w:tcPr>
          <w:p>
            <w:pPr>
              <w:spacing w:after="0" w:line="240" w:lineRule="auto"/>
            </w:pPr>
            <w:r/>
            <w:r>
              <w:rPr>
                <w:sz w:val="15"/>
              </w:rPr>
              <w:t>Female sex, n (%)</w:t>
            </w:r>
          </w:p>
        </w:tc>
        <w:tc>
          <w:tcPr>
            <w:tcW w:type="dxa" w:w="1247"/>
          </w:tcPr>
          <w:p>
            <w:pPr>
              <w:spacing w:after="0" w:line="240" w:lineRule="auto"/>
              <w:jc w:val="center"/>
            </w:pPr>
            <w:r/>
            <w:r>
              <w:rPr>
                <w:sz w:val="15"/>
              </w:rPr>
              <w:t>147,165 (54.0)</w:t>
            </w:r>
          </w:p>
        </w:tc>
        <w:tc>
          <w:tcPr>
            <w:tcW w:type="dxa" w:w="1247"/>
          </w:tcPr>
          <w:p>
            <w:pPr>
              <w:spacing w:after="0" w:line="240" w:lineRule="auto"/>
              <w:jc w:val="center"/>
            </w:pPr>
            <w:r/>
            <w:r>
              <w:rPr>
                <w:sz w:val="15"/>
              </w:rPr>
              <w:t>6,970 (44.5)</w:t>
            </w:r>
          </w:p>
        </w:tc>
        <w:tc>
          <w:tcPr>
            <w:tcW w:type="dxa" w:w="1247"/>
          </w:tcPr>
          <w:p>
            <w:pPr>
              <w:spacing w:after="0" w:line="240" w:lineRule="auto"/>
              <w:jc w:val="center"/>
            </w:pPr>
            <w:r/>
            <w:r>
              <w:rPr>
                <w:sz w:val="15"/>
              </w:rPr>
              <w:t>140,195 (54.6)</w:t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sz w:val="15"/>
              </w:rPr>
              <w:t>&lt;0.001</w:t>
            </w:r>
          </w:p>
        </w:tc>
        <w:tc>
          <w:tcPr>
            <w:tcW w:type="dxa" w:w="1247"/>
          </w:tcPr>
          <w:p>
            <w:pPr>
              <w:spacing w:after="0" w:line="240" w:lineRule="auto"/>
              <w:jc w:val="center"/>
            </w:pPr>
            <w:r/>
            <w:r>
              <w:rPr>
                <w:sz w:val="15"/>
              </w:rPr>
              <w:t>147,628 (54.0)</w:t>
            </w:r>
          </w:p>
        </w:tc>
        <w:tc>
          <w:tcPr>
            <w:tcW w:type="dxa" w:w="1247"/>
          </w:tcPr>
          <w:p>
            <w:pPr>
              <w:spacing w:after="0" w:line="240" w:lineRule="auto"/>
              <w:jc w:val="center"/>
            </w:pPr>
            <w:r/>
            <w:r>
              <w:rPr>
                <w:sz w:val="15"/>
              </w:rPr>
              <w:t>4,380 (60.7)</w:t>
            </w:r>
          </w:p>
        </w:tc>
        <w:tc>
          <w:tcPr>
            <w:tcW w:type="dxa" w:w="1247"/>
          </w:tcPr>
          <w:p>
            <w:pPr>
              <w:spacing w:after="0" w:line="240" w:lineRule="auto"/>
              <w:jc w:val="center"/>
            </w:pPr>
            <w:r/>
            <w:r>
              <w:rPr>
                <w:sz w:val="15"/>
              </w:rPr>
              <w:t>143,248 (53.8)</w:t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sz w:val="15"/>
              </w:rPr>
              <w:t>&lt;0.001</w:t>
            </w:r>
          </w:p>
        </w:tc>
      </w:tr>
      <w:tr>
        <w:tc>
          <w:tcPr>
            <w:tcW w:type="dxa" w:w="3515"/>
          </w:tcPr>
          <w:p>
            <w:pPr>
              <w:spacing w:after="0" w:line="240" w:lineRule="auto"/>
            </w:pPr>
            <w:r/>
            <w:r>
              <w:rPr>
                <w:sz w:val="15"/>
              </w:rPr>
              <w:t>Townsend deprivation index</w:t>
            </w:r>
          </w:p>
        </w:tc>
        <w:tc>
          <w:tcPr>
            <w:tcW w:type="dxa" w:w="1247"/>
          </w:tcPr>
          <w:p>
            <w:pPr>
              <w:spacing w:after="0" w:line="240" w:lineRule="auto"/>
              <w:jc w:val="center"/>
            </w:pPr>
            <w:r/>
            <w:r>
              <w:rPr>
                <w:sz w:val="15"/>
              </w:rPr>
              <w:t>-2.21 (-3.68 to 0.44)</w:t>
            </w:r>
          </w:p>
        </w:tc>
        <w:tc>
          <w:tcPr>
            <w:tcW w:type="dxa" w:w="1247"/>
          </w:tcPr>
          <w:p>
            <w:pPr>
              <w:spacing w:after="0" w:line="240" w:lineRule="auto"/>
              <w:jc w:val="center"/>
            </w:pPr>
            <w:r/>
            <w:r>
              <w:rPr>
                <w:sz w:val="15"/>
              </w:rPr>
              <w:t>-2.08 (-3.58 to 0.75)</w:t>
            </w:r>
          </w:p>
        </w:tc>
        <w:tc>
          <w:tcPr>
            <w:tcW w:type="dxa" w:w="1247"/>
          </w:tcPr>
          <w:p>
            <w:pPr>
              <w:spacing w:after="0" w:line="240" w:lineRule="auto"/>
              <w:jc w:val="center"/>
            </w:pPr>
            <w:r/>
            <w:r>
              <w:rPr>
                <w:sz w:val="15"/>
              </w:rPr>
              <w:t>-2.21 (-3.68 to 0.42)</w:t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sz w:val="15"/>
              </w:rPr>
              <w:t>&lt;0.001</w:t>
            </w:r>
          </w:p>
        </w:tc>
        <w:tc>
          <w:tcPr>
            <w:tcW w:type="dxa" w:w="1247"/>
          </w:tcPr>
          <w:p>
            <w:pPr>
              <w:spacing w:after="0" w:line="240" w:lineRule="auto"/>
              <w:jc w:val="center"/>
            </w:pPr>
            <w:r/>
            <w:r>
              <w:rPr>
                <w:sz w:val="15"/>
              </w:rPr>
              <w:t>-2.20 (-3.68 to 0.45)</w:t>
            </w:r>
          </w:p>
        </w:tc>
        <w:tc>
          <w:tcPr>
            <w:tcW w:type="dxa" w:w="1247"/>
          </w:tcPr>
          <w:p>
            <w:pPr>
              <w:spacing w:after="0" w:line="240" w:lineRule="auto"/>
              <w:jc w:val="center"/>
            </w:pPr>
            <w:r/>
            <w:r>
              <w:rPr>
                <w:sz w:val="15"/>
              </w:rPr>
              <w:t>-2.34 (-3.70 to 0.25)</w:t>
            </w:r>
          </w:p>
        </w:tc>
        <w:tc>
          <w:tcPr>
            <w:tcW w:type="dxa" w:w="1247"/>
          </w:tcPr>
          <w:p>
            <w:pPr>
              <w:spacing w:after="0" w:line="240" w:lineRule="auto"/>
              <w:jc w:val="center"/>
            </w:pPr>
            <w:r/>
            <w:r>
              <w:rPr>
                <w:sz w:val="15"/>
              </w:rPr>
              <w:t>-2.20 (-3.68 to 0.45)</w:t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sz w:val="15"/>
              </w:rPr>
              <w:t>0.005</w:t>
            </w:r>
          </w:p>
        </w:tc>
      </w:tr>
      <w:tr>
        <w:tc>
          <w:tcPr>
            <w:tcW w:type="dxa" w:w="3515"/>
          </w:tcPr>
          <w:p>
            <w:pPr>
              <w:spacing w:after="0" w:line="240" w:lineRule="auto"/>
            </w:pPr>
            <w:r/>
            <w:r>
              <w:rPr>
                <w:sz w:val="15"/>
              </w:rPr>
              <w:t>Body mass index, kg/m²</w:t>
            </w:r>
          </w:p>
        </w:tc>
        <w:tc>
          <w:tcPr>
            <w:tcW w:type="dxa" w:w="1247"/>
          </w:tcPr>
          <w:p>
            <w:pPr>
              <w:spacing w:after="0" w:line="240" w:lineRule="auto"/>
              <w:jc w:val="center"/>
            </w:pPr>
            <w:r/>
            <w:r>
              <w:rPr>
                <w:sz w:val="15"/>
              </w:rPr>
              <w:t>27.4 (4.8)</w:t>
            </w:r>
          </w:p>
        </w:tc>
        <w:tc>
          <w:tcPr>
            <w:tcW w:type="dxa" w:w="1247"/>
          </w:tcPr>
          <w:p>
            <w:pPr>
              <w:spacing w:after="0" w:line="240" w:lineRule="auto"/>
              <w:jc w:val="center"/>
            </w:pPr>
            <w:r/>
            <w:r>
              <w:rPr>
                <w:sz w:val="15"/>
              </w:rPr>
              <w:t>28.4 (4.9)</w:t>
            </w:r>
          </w:p>
        </w:tc>
        <w:tc>
          <w:tcPr>
            <w:tcW w:type="dxa" w:w="1247"/>
          </w:tcPr>
          <w:p>
            <w:pPr>
              <w:spacing w:after="0" w:line="240" w:lineRule="auto"/>
              <w:jc w:val="center"/>
            </w:pPr>
            <w:r/>
            <w:r>
              <w:rPr>
                <w:sz w:val="15"/>
              </w:rPr>
              <w:t>27.4 (4.8)</w:t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sz w:val="15"/>
              </w:rPr>
              <w:t>&lt;0.001</w:t>
            </w:r>
          </w:p>
        </w:tc>
        <w:tc>
          <w:tcPr>
            <w:tcW w:type="dxa" w:w="1247"/>
          </w:tcPr>
          <w:p>
            <w:pPr>
              <w:spacing w:after="0" w:line="240" w:lineRule="auto"/>
              <w:jc w:val="center"/>
            </w:pPr>
            <w:r/>
            <w:r>
              <w:rPr>
                <w:sz w:val="15"/>
              </w:rPr>
              <w:t>27.5 (4.8)</w:t>
            </w:r>
          </w:p>
        </w:tc>
        <w:tc>
          <w:tcPr>
            <w:tcW w:type="dxa" w:w="1247"/>
          </w:tcPr>
          <w:p>
            <w:pPr>
              <w:spacing w:after="0" w:line="240" w:lineRule="auto"/>
              <w:jc w:val="center"/>
            </w:pPr>
            <w:r/>
            <w:r>
              <w:rPr>
                <w:sz w:val="15"/>
              </w:rPr>
              <w:t>28.3 (4.9)</w:t>
            </w:r>
          </w:p>
        </w:tc>
        <w:tc>
          <w:tcPr>
            <w:tcW w:type="dxa" w:w="1247"/>
          </w:tcPr>
          <w:p>
            <w:pPr>
              <w:spacing w:after="0" w:line="240" w:lineRule="auto"/>
              <w:jc w:val="center"/>
            </w:pPr>
            <w:r/>
            <w:r>
              <w:rPr>
                <w:sz w:val="15"/>
              </w:rPr>
              <w:t>27.4 (4.8)</w:t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sz w:val="15"/>
              </w:rPr>
              <w:t>&lt;0.001</w:t>
            </w:r>
          </w:p>
        </w:tc>
      </w:tr>
      <w:tr>
        <w:tc>
          <w:tcPr>
            <w:tcW w:type="dxa" w:w="3515"/>
          </w:tcPr>
          <w:p>
            <w:pPr>
              <w:spacing w:after="0" w:line="240" w:lineRule="auto"/>
            </w:pPr>
            <w:r/>
            <w:r>
              <w:rPr>
                <w:sz w:val="15"/>
              </w:rPr>
              <w:t>Waist circumference, cm</w:t>
            </w:r>
          </w:p>
        </w:tc>
        <w:tc>
          <w:tcPr>
            <w:tcW w:type="dxa" w:w="1247"/>
          </w:tcPr>
          <w:p>
            <w:pPr>
              <w:spacing w:after="0" w:line="240" w:lineRule="auto"/>
              <w:jc w:val="center"/>
            </w:pPr>
            <w:r/>
            <w:r>
              <w:rPr>
                <w:sz w:val="15"/>
              </w:rPr>
              <w:t>90.3 (13.5)</w:t>
            </w:r>
          </w:p>
        </w:tc>
        <w:tc>
          <w:tcPr>
            <w:tcW w:type="dxa" w:w="1247"/>
          </w:tcPr>
          <w:p>
            <w:pPr>
              <w:spacing w:after="0" w:line="240" w:lineRule="auto"/>
              <w:jc w:val="center"/>
            </w:pPr>
            <w:r/>
            <w:r>
              <w:rPr>
                <w:sz w:val="15"/>
              </w:rPr>
              <w:t>94.2 (13.7)</w:t>
            </w:r>
          </w:p>
        </w:tc>
        <w:tc>
          <w:tcPr>
            <w:tcW w:type="dxa" w:w="1247"/>
          </w:tcPr>
          <w:p>
            <w:pPr>
              <w:spacing w:after="0" w:line="240" w:lineRule="auto"/>
              <w:jc w:val="center"/>
            </w:pPr>
            <w:r/>
            <w:r>
              <w:rPr>
                <w:sz w:val="15"/>
              </w:rPr>
              <w:t>90.0 (13.4)</w:t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sz w:val="15"/>
              </w:rPr>
              <w:t>&lt;0.001</w:t>
            </w:r>
          </w:p>
        </w:tc>
        <w:tc>
          <w:tcPr>
            <w:tcW w:type="dxa" w:w="1247"/>
          </w:tcPr>
          <w:p>
            <w:pPr>
              <w:spacing w:after="0" w:line="240" w:lineRule="auto"/>
              <w:jc w:val="center"/>
            </w:pPr>
            <w:r/>
            <w:r>
              <w:rPr>
                <w:sz w:val="15"/>
              </w:rPr>
              <w:t>90.3 (13.5)</w:t>
            </w:r>
          </w:p>
        </w:tc>
        <w:tc>
          <w:tcPr>
            <w:tcW w:type="dxa" w:w="1247"/>
          </w:tcPr>
          <w:p>
            <w:pPr>
              <w:spacing w:after="0" w:line="240" w:lineRule="auto"/>
              <w:jc w:val="center"/>
            </w:pPr>
            <w:r/>
            <w:r>
              <w:rPr>
                <w:sz w:val="15"/>
              </w:rPr>
              <w:t>92.2 (13.2)</w:t>
            </w:r>
          </w:p>
        </w:tc>
        <w:tc>
          <w:tcPr>
            <w:tcW w:type="dxa" w:w="1247"/>
          </w:tcPr>
          <w:p>
            <w:pPr>
              <w:spacing w:after="0" w:line="240" w:lineRule="auto"/>
              <w:jc w:val="center"/>
            </w:pPr>
            <w:r/>
            <w:r>
              <w:rPr>
                <w:sz w:val="15"/>
              </w:rPr>
              <w:t>90.3 (13.5)</w:t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sz w:val="15"/>
              </w:rPr>
              <w:t>&lt;0.001</w:t>
            </w:r>
          </w:p>
        </w:tc>
      </w:tr>
      <w:tr>
        <w:tc>
          <w:tcPr>
            <w:tcW w:type="dxa" w:w="3515"/>
          </w:tcPr>
          <w:p>
            <w:pPr>
              <w:spacing w:after="0" w:line="240" w:lineRule="auto"/>
            </w:pPr>
            <w:r/>
            <w:r>
              <w:rPr>
                <w:sz w:val="15"/>
              </w:rPr>
              <w:t>Systolic blood pressure, mmHg</w:t>
            </w:r>
          </w:p>
        </w:tc>
        <w:tc>
          <w:tcPr>
            <w:tcW w:type="dxa" w:w="1247"/>
          </w:tcPr>
          <w:p>
            <w:pPr>
              <w:spacing w:after="0" w:line="240" w:lineRule="auto"/>
              <w:jc w:val="center"/>
            </w:pPr>
            <w:r/>
            <w:r>
              <w:rPr>
                <w:sz w:val="15"/>
              </w:rPr>
              <w:t>138 (19)</w:t>
            </w:r>
          </w:p>
        </w:tc>
        <w:tc>
          <w:tcPr>
            <w:tcW w:type="dxa" w:w="1247"/>
          </w:tcPr>
          <w:p>
            <w:pPr>
              <w:spacing w:after="0" w:line="240" w:lineRule="auto"/>
              <w:jc w:val="center"/>
            </w:pPr>
            <w:r/>
            <w:r>
              <w:rPr>
                <w:sz w:val="15"/>
              </w:rPr>
              <w:t>140 (18)</w:t>
            </w:r>
          </w:p>
        </w:tc>
        <w:tc>
          <w:tcPr>
            <w:tcW w:type="dxa" w:w="1247"/>
          </w:tcPr>
          <w:p>
            <w:pPr>
              <w:spacing w:after="0" w:line="240" w:lineRule="auto"/>
              <w:jc w:val="center"/>
            </w:pPr>
            <w:r/>
            <w:r>
              <w:rPr>
                <w:sz w:val="15"/>
              </w:rPr>
              <w:t>138 (19)</w:t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sz w:val="15"/>
              </w:rPr>
              <w:t>&lt;0.001</w:t>
            </w:r>
          </w:p>
        </w:tc>
        <w:tc>
          <w:tcPr>
            <w:tcW w:type="dxa" w:w="1247"/>
          </w:tcPr>
          <w:p>
            <w:pPr>
              <w:spacing w:after="0" w:line="240" w:lineRule="auto"/>
              <w:jc w:val="center"/>
            </w:pPr>
            <w:r/>
            <w:r>
              <w:rPr>
                <w:sz w:val="15"/>
              </w:rPr>
              <w:t>138 (19)</w:t>
            </w:r>
          </w:p>
        </w:tc>
        <w:tc>
          <w:tcPr>
            <w:tcW w:type="dxa" w:w="1247"/>
          </w:tcPr>
          <w:p>
            <w:pPr>
              <w:spacing w:after="0" w:line="240" w:lineRule="auto"/>
              <w:jc w:val="center"/>
            </w:pPr>
            <w:r/>
            <w:r>
              <w:rPr>
                <w:sz w:val="15"/>
              </w:rPr>
              <w:t>139 (18)</w:t>
            </w:r>
          </w:p>
        </w:tc>
        <w:tc>
          <w:tcPr>
            <w:tcW w:type="dxa" w:w="1247"/>
          </w:tcPr>
          <w:p>
            <w:pPr>
              <w:spacing w:after="0" w:line="240" w:lineRule="auto"/>
              <w:jc w:val="center"/>
            </w:pPr>
            <w:r/>
            <w:r>
              <w:rPr>
                <w:sz w:val="15"/>
              </w:rPr>
              <w:t>138 (19)</w:t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sz w:val="15"/>
              </w:rPr>
              <w:t>&lt;0.001</w:t>
            </w:r>
          </w:p>
        </w:tc>
      </w:tr>
      <w:tr>
        <w:tc>
          <w:tcPr>
            <w:tcW w:type="dxa" w:w="3515"/>
          </w:tcPr>
          <w:p>
            <w:pPr>
              <w:spacing w:after="0" w:line="240" w:lineRule="auto"/>
            </w:pPr>
            <w:r/>
            <w:r>
              <w:rPr>
                <w:sz w:val="15"/>
              </w:rPr>
              <w:t>Diastolic blood pressure, mmHg</w:t>
            </w:r>
          </w:p>
        </w:tc>
        <w:tc>
          <w:tcPr>
            <w:tcW w:type="dxa" w:w="1247"/>
          </w:tcPr>
          <w:p>
            <w:pPr>
              <w:spacing w:after="0" w:line="240" w:lineRule="auto"/>
              <w:jc w:val="center"/>
            </w:pPr>
            <w:r/>
            <w:r>
              <w:rPr>
                <w:sz w:val="15"/>
              </w:rPr>
              <w:t>82 (10)</w:t>
            </w:r>
          </w:p>
        </w:tc>
        <w:tc>
          <w:tcPr>
            <w:tcW w:type="dxa" w:w="1247"/>
          </w:tcPr>
          <w:p>
            <w:pPr>
              <w:spacing w:after="0" w:line="240" w:lineRule="auto"/>
              <w:jc w:val="center"/>
            </w:pPr>
            <w:r/>
            <w:r>
              <w:rPr>
                <w:sz w:val="15"/>
              </w:rPr>
              <w:t>83 (10)</w:t>
            </w:r>
          </w:p>
        </w:tc>
        <w:tc>
          <w:tcPr>
            <w:tcW w:type="dxa" w:w="1247"/>
          </w:tcPr>
          <w:p>
            <w:pPr>
              <w:spacing w:after="0" w:line="240" w:lineRule="auto"/>
              <w:jc w:val="center"/>
            </w:pPr>
            <w:r/>
            <w:r>
              <w:rPr>
                <w:sz w:val="15"/>
              </w:rPr>
              <w:t>82 (10)</w:t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sz w:val="15"/>
              </w:rPr>
              <w:t>&lt;0.001</w:t>
            </w:r>
          </w:p>
        </w:tc>
        <w:tc>
          <w:tcPr>
            <w:tcW w:type="dxa" w:w="1247"/>
          </w:tcPr>
          <w:p>
            <w:pPr>
              <w:spacing w:after="0" w:line="240" w:lineRule="auto"/>
              <w:jc w:val="center"/>
            </w:pPr>
            <w:r/>
            <w:r>
              <w:rPr>
                <w:sz w:val="15"/>
              </w:rPr>
              <w:t>82 (10)</w:t>
            </w:r>
          </w:p>
        </w:tc>
        <w:tc>
          <w:tcPr>
            <w:tcW w:type="dxa" w:w="1247"/>
          </w:tcPr>
          <w:p>
            <w:pPr>
              <w:spacing w:after="0" w:line="240" w:lineRule="auto"/>
              <w:jc w:val="center"/>
            </w:pPr>
            <w:r/>
            <w:r>
              <w:rPr>
                <w:sz w:val="15"/>
              </w:rPr>
              <w:t>82 (10)</w:t>
            </w:r>
          </w:p>
        </w:tc>
        <w:tc>
          <w:tcPr>
            <w:tcW w:type="dxa" w:w="1247"/>
          </w:tcPr>
          <w:p>
            <w:pPr>
              <w:spacing w:after="0" w:line="240" w:lineRule="auto"/>
              <w:jc w:val="center"/>
            </w:pPr>
            <w:r/>
            <w:r>
              <w:rPr>
                <w:sz w:val="15"/>
              </w:rPr>
              <w:t>82 (10)</w:t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sz w:val="15"/>
              </w:rPr>
              <w:t>0.590</w:t>
            </w:r>
          </w:p>
        </w:tc>
      </w:tr>
      <w:tr>
        <w:tc>
          <w:tcPr>
            <w:tcW w:type="dxa" w:w="3515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b/>
                <w:sz w:val="15"/>
              </w:rPr>
              <w:t>Smoking status, n (%)</w:t>
            </w:r>
          </w:p>
        </w:tc>
        <w:tc>
          <w:tcPr>
            <w:tcW w:type="dxa" w:w="1247"/>
          </w:tcPr>
          <w:p>
            <w:pPr>
              <w:spacing w:after="0" w:line="240" w:lineRule="auto"/>
              <w:jc w:val="center"/>
            </w:pPr>
            <w:r>
              <w:rPr>
                <w:b/>
              </w:rPr>
            </w:r>
          </w:p>
        </w:tc>
        <w:tc>
          <w:tcPr>
            <w:tcW w:type="dxa" w:w="1247"/>
          </w:tcPr>
          <w:p>
            <w:pPr>
              <w:spacing w:after="0" w:line="240" w:lineRule="auto"/>
              <w:jc w:val="center"/>
            </w:pPr>
            <w:r>
              <w:rPr>
                <w:b/>
              </w:rPr>
            </w:r>
          </w:p>
        </w:tc>
        <w:tc>
          <w:tcPr>
            <w:tcW w:type="dxa" w:w="1247"/>
          </w:tcPr>
          <w:p>
            <w:pPr>
              <w:spacing w:after="0" w:line="240" w:lineRule="auto"/>
              <w:jc w:val="center"/>
            </w:pPr>
            <w:r>
              <w:rPr>
                <w:b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>
              <w:rPr>
                <w:b/>
              </w:rPr>
            </w:r>
          </w:p>
        </w:tc>
        <w:tc>
          <w:tcPr>
            <w:tcW w:type="dxa" w:w="1247"/>
          </w:tcPr>
          <w:p>
            <w:pPr>
              <w:spacing w:after="0" w:line="240" w:lineRule="auto"/>
              <w:jc w:val="center"/>
            </w:pPr>
            <w:r>
              <w:rPr>
                <w:b/>
              </w:rPr>
            </w:r>
          </w:p>
        </w:tc>
        <w:tc>
          <w:tcPr>
            <w:tcW w:type="dxa" w:w="1247"/>
          </w:tcPr>
          <w:p>
            <w:pPr>
              <w:spacing w:after="0" w:line="240" w:lineRule="auto"/>
              <w:jc w:val="center"/>
            </w:pPr>
            <w:r>
              <w:rPr>
                <w:b/>
              </w:rPr>
            </w:r>
          </w:p>
        </w:tc>
        <w:tc>
          <w:tcPr>
            <w:tcW w:type="dxa" w:w="1247"/>
          </w:tcPr>
          <w:p>
            <w:pPr>
              <w:spacing w:after="0" w:line="240" w:lineRule="auto"/>
              <w:jc w:val="center"/>
            </w:pPr>
            <w:r>
              <w:rPr>
                <w:b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>
              <w:rPr>
                <w:b/>
              </w:rPr>
            </w:r>
          </w:p>
        </w:tc>
      </w:tr>
      <w:tr>
        <w:tc>
          <w:tcPr>
            <w:tcW w:type="dxa" w:w="3515"/>
          </w:tcPr>
          <w:p>
            <w:pPr>
              <w:spacing w:after="0" w:line="240" w:lineRule="auto"/>
              <w:ind w:left="227"/>
            </w:pPr>
            <w:r/>
            <w:r>
              <w:rPr>
                <w:sz w:val="15"/>
              </w:rPr>
              <w:t>Never</w:t>
            </w:r>
          </w:p>
        </w:tc>
        <w:tc>
          <w:tcPr>
            <w:tcW w:type="dxa" w:w="1247"/>
          </w:tcPr>
          <w:p>
            <w:pPr>
              <w:spacing w:after="0" w:line="240" w:lineRule="auto"/>
              <w:jc w:val="center"/>
            </w:pPr>
            <w:r/>
            <w:r>
              <w:rPr>
                <w:sz w:val="15"/>
              </w:rPr>
              <w:t>148,355 (54.7)</w:t>
            </w:r>
          </w:p>
        </w:tc>
        <w:tc>
          <w:tcPr>
            <w:tcW w:type="dxa" w:w="1247"/>
          </w:tcPr>
          <w:p>
            <w:pPr>
              <w:spacing w:after="0" w:line="240" w:lineRule="auto"/>
              <w:jc w:val="center"/>
            </w:pPr>
            <w:r/>
            <w:r>
              <w:rPr>
                <w:sz w:val="15"/>
              </w:rPr>
              <w:t>6,780 (43.5)</w:t>
            </w:r>
          </w:p>
        </w:tc>
        <w:tc>
          <w:tcPr>
            <w:tcW w:type="dxa" w:w="1247"/>
          </w:tcPr>
          <w:p>
            <w:pPr>
              <w:spacing w:after="0" w:line="240" w:lineRule="auto"/>
              <w:jc w:val="center"/>
            </w:pPr>
            <w:r/>
            <w:r>
              <w:rPr>
                <w:sz w:val="15"/>
              </w:rPr>
              <w:t>141,575 (55.4)</w:t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sz w:val="15"/>
              </w:rPr>
              <w:t>&lt;0.001</w:t>
            </w:r>
          </w:p>
        </w:tc>
        <w:tc>
          <w:tcPr>
            <w:tcW w:type="dxa" w:w="1247"/>
          </w:tcPr>
          <w:p>
            <w:pPr>
              <w:spacing w:after="0" w:line="240" w:lineRule="auto"/>
              <w:jc w:val="center"/>
            </w:pPr>
            <w:r/>
            <w:r>
              <w:rPr>
                <w:sz w:val="15"/>
              </w:rPr>
              <w:t>148,741 (54.6)</w:t>
            </w:r>
          </w:p>
        </w:tc>
        <w:tc>
          <w:tcPr>
            <w:tcW w:type="dxa" w:w="1247"/>
          </w:tcPr>
          <w:p>
            <w:pPr>
              <w:spacing w:after="0" w:line="240" w:lineRule="auto"/>
              <w:jc w:val="center"/>
            </w:pPr>
            <w:r/>
            <w:r>
              <w:rPr>
                <w:sz w:val="15"/>
              </w:rPr>
              <w:t>4,013 (55.9)</w:t>
            </w:r>
          </w:p>
        </w:tc>
        <w:tc>
          <w:tcPr>
            <w:tcW w:type="dxa" w:w="1247"/>
          </w:tcPr>
          <w:p>
            <w:pPr>
              <w:spacing w:after="0" w:line="240" w:lineRule="auto"/>
              <w:jc w:val="center"/>
            </w:pPr>
            <w:r/>
            <w:r>
              <w:rPr>
                <w:sz w:val="15"/>
              </w:rPr>
              <w:t>144,728 (54.6)</w:t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sz w:val="15"/>
              </w:rPr>
              <w:t>0.028</w:t>
            </w:r>
          </w:p>
        </w:tc>
      </w:tr>
      <w:tr>
        <w:tc>
          <w:tcPr>
            <w:tcW w:type="dxa" w:w="3515"/>
          </w:tcPr>
          <w:p>
            <w:pPr>
              <w:spacing w:after="0" w:line="240" w:lineRule="auto"/>
              <w:ind w:left="227"/>
            </w:pPr>
            <w:r/>
            <w:r>
              <w:rPr>
                <w:sz w:val="15"/>
              </w:rPr>
              <w:t>Previous</w:t>
            </w:r>
          </w:p>
        </w:tc>
        <w:tc>
          <w:tcPr>
            <w:tcW w:type="dxa" w:w="1247"/>
          </w:tcPr>
          <w:p>
            <w:pPr>
              <w:spacing w:after="0" w:line="240" w:lineRule="auto"/>
              <w:jc w:val="center"/>
            </w:pPr>
            <w:r/>
            <w:r>
              <w:rPr>
                <w:sz w:val="15"/>
              </w:rPr>
              <w:t>94,065 (34.7)</w:t>
            </w:r>
          </w:p>
        </w:tc>
        <w:tc>
          <w:tcPr>
            <w:tcW w:type="dxa" w:w="1247"/>
          </w:tcPr>
          <w:p>
            <w:pPr>
              <w:spacing w:after="0" w:line="240" w:lineRule="auto"/>
              <w:jc w:val="center"/>
            </w:pPr>
            <w:r/>
            <w:r>
              <w:rPr>
                <w:sz w:val="15"/>
              </w:rPr>
              <w:t>6,462 (41.4)</w:t>
            </w:r>
          </w:p>
        </w:tc>
        <w:tc>
          <w:tcPr>
            <w:tcW w:type="dxa" w:w="1247"/>
          </w:tcPr>
          <w:p>
            <w:pPr>
              <w:spacing w:after="0" w:line="240" w:lineRule="auto"/>
              <w:jc w:val="center"/>
            </w:pPr>
            <w:r/>
            <w:r>
              <w:rPr>
                <w:sz w:val="15"/>
              </w:rPr>
              <w:t>87,603 (34.3)</w:t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sz w:val="15"/>
              </w:rPr>
              <w:t>&lt;0.001</w:t>
            </w:r>
          </w:p>
        </w:tc>
        <w:tc>
          <w:tcPr>
            <w:tcW w:type="dxa" w:w="1247"/>
          </w:tcPr>
          <w:p>
            <w:pPr>
              <w:spacing w:after="0" w:line="240" w:lineRule="auto"/>
              <w:jc w:val="center"/>
            </w:pPr>
            <w:r/>
            <w:r>
              <w:rPr>
                <w:sz w:val="15"/>
              </w:rPr>
              <w:t>94,733 (34.8)</w:t>
            </w:r>
          </w:p>
        </w:tc>
        <w:tc>
          <w:tcPr>
            <w:tcW w:type="dxa" w:w="1247"/>
          </w:tcPr>
          <w:p>
            <w:pPr>
              <w:spacing w:after="0" w:line="240" w:lineRule="auto"/>
              <w:jc w:val="center"/>
            </w:pPr>
            <w:r/>
            <w:r>
              <w:rPr>
                <w:sz w:val="15"/>
              </w:rPr>
              <w:t>2,705 (37.7)</w:t>
            </w:r>
          </w:p>
        </w:tc>
        <w:tc>
          <w:tcPr>
            <w:tcW w:type="dxa" w:w="1247"/>
          </w:tcPr>
          <w:p>
            <w:pPr>
              <w:spacing w:after="0" w:line="240" w:lineRule="auto"/>
              <w:jc w:val="center"/>
            </w:pPr>
            <w:r/>
            <w:r>
              <w:rPr>
                <w:sz w:val="15"/>
              </w:rPr>
              <w:t>92,028 (34.7)</w:t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sz w:val="15"/>
              </w:rPr>
              <w:t>&lt;0.001</w:t>
            </w:r>
          </w:p>
        </w:tc>
      </w:tr>
      <w:tr>
        <w:tc>
          <w:tcPr>
            <w:tcW w:type="dxa" w:w="3515"/>
          </w:tcPr>
          <w:p>
            <w:pPr>
              <w:spacing w:after="0" w:line="240" w:lineRule="auto"/>
              <w:ind w:left="227"/>
            </w:pPr>
            <w:r/>
            <w:r>
              <w:rPr>
                <w:sz w:val="15"/>
              </w:rPr>
              <w:t>Current</w:t>
            </w:r>
          </w:p>
        </w:tc>
        <w:tc>
          <w:tcPr>
            <w:tcW w:type="dxa" w:w="1247"/>
          </w:tcPr>
          <w:p>
            <w:pPr>
              <w:spacing w:after="0" w:line="240" w:lineRule="auto"/>
              <w:jc w:val="center"/>
            </w:pPr>
            <w:r/>
            <w:r>
              <w:rPr>
                <w:sz w:val="15"/>
              </w:rPr>
              <w:t>28,569 (10.5)</w:t>
            </w:r>
          </w:p>
        </w:tc>
        <w:tc>
          <w:tcPr>
            <w:tcW w:type="dxa" w:w="1247"/>
          </w:tcPr>
          <w:p>
            <w:pPr>
              <w:spacing w:after="0" w:line="240" w:lineRule="auto"/>
              <w:jc w:val="center"/>
            </w:pPr>
            <w:r/>
            <w:r>
              <w:rPr>
                <w:sz w:val="15"/>
              </w:rPr>
              <w:t>2,353 (15.1)</w:t>
            </w:r>
          </w:p>
        </w:tc>
        <w:tc>
          <w:tcPr>
            <w:tcW w:type="dxa" w:w="1247"/>
          </w:tcPr>
          <w:p>
            <w:pPr>
              <w:spacing w:after="0" w:line="240" w:lineRule="auto"/>
              <w:jc w:val="center"/>
            </w:pPr>
            <w:r/>
            <w:r>
              <w:rPr>
                <w:sz w:val="15"/>
              </w:rPr>
              <w:t>26,216 (10.3)</w:t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sz w:val="15"/>
              </w:rPr>
              <w:t>&lt;0.001</w:t>
            </w:r>
          </w:p>
        </w:tc>
        <w:tc>
          <w:tcPr>
            <w:tcW w:type="dxa" w:w="1247"/>
          </w:tcPr>
          <w:p>
            <w:pPr>
              <w:spacing w:after="0" w:line="240" w:lineRule="auto"/>
              <w:jc w:val="center"/>
            </w:pPr>
            <w:r/>
            <w:r>
              <w:rPr>
                <w:sz w:val="15"/>
              </w:rPr>
              <w:t>28,825 (10.6)</w:t>
            </w:r>
          </w:p>
        </w:tc>
        <w:tc>
          <w:tcPr>
            <w:tcW w:type="dxa" w:w="1247"/>
          </w:tcPr>
          <w:p>
            <w:pPr>
              <w:spacing w:after="0" w:line="240" w:lineRule="auto"/>
              <w:jc w:val="center"/>
            </w:pPr>
            <w:r/>
            <w:r>
              <w:rPr>
                <w:sz w:val="15"/>
              </w:rPr>
              <w:t>460 (6.4)</w:t>
            </w:r>
          </w:p>
        </w:tc>
        <w:tc>
          <w:tcPr>
            <w:tcW w:type="dxa" w:w="1247"/>
          </w:tcPr>
          <w:p>
            <w:pPr>
              <w:spacing w:after="0" w:line="240" w:lineRule="auto"/>
              <w:jc w:val="center"/>
            </w:pPr>
            <w:r/>
            <w:r>
              <w:rPr>
                <w:sz w:val="15"/>
              </w:rPr>
              <w:t>28,365 (10.7)</w:t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sz w:val="15"/>
              </w:rPr>
              <w:t>&lt;0.001</w:t>
            </w:r>
          </w:p>
        </w:tc>
      </w:tr>
      <w:tr>
        <w:tc>
          <w:tcPr>
            <w:tcW w:type="dxa" w:w="3515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b/>
                <w:sz w:val="15"/>
              </w:rPr>
              <w:t>Alcohol drinking, n (%)</w:t>
            </w:r>
          </w:p>
        </w:tc>
        <w:tc>
          <w:tcPr>
            <w:tcW w:type="dxa" w:w="1247"/>
          </w:tcPr>
          <w:p>
            <w:pPr>
              <w:spacing w:after="0" w:line="240" w:lineRule="auto"/>
              <w:jc w:val="center"/>
            </w:pPr>
            <w:r>
              <w:rPr>
                <w:b/>
              </w:rPr>
            </w:r>
          </w:p>
        </w:tc>
        <w:tc>
          <w:tcPr>
            <w:tcW w:type="dxa" w:w="1247"/>
          </w:tcPr>
          <w:p>
            <w:pPr>
              <w:spacing w:after="0" w:line="240" w:lineRule="auto"/>
              <w:jc w:val="center"/>
            </w:pPr>
            <w:r>
              <w:rPr>
                <w:b/>
              </w:rPr>
            </w:r>
          </w:p>
        </w:tc>
        <w:tc>
          <w:tcPr>
            <w:tcW w:type="dxa" w:w="1247"/>
          </w:tcPr>
          <w:p>
            <w:pPr>
              <w:spacing w:after="0" w:line="240" w:lineRule="auto"/>
              <w:jc w:val="center"/>
            </w:pPr>
            <w:r>
              <w:rPr>
                <w:b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>
              <w:rPr>
                <w:b/>
              </w:rPr>
            </w:r>
          </w:p>
        </w:tc>
        <w:tc>
          <w:tcPr>
            <w:tcW w:type="dxa" w:w="1247"/>
          </w:tcPr>
          <w:p>
            <w:pPr>
              <w:spacing w:after="0" w:line="240" w:lineRule="auto"/>
              <w:jc w:val="center"/>
            </w:pPr>
            <w:r>
              <w:rPr>
                <w:b/>
              </w:rPr>
            </w:r>
          </w:p>
        </w:tc>
        <w:tc>
          <w:tcPr>
            <w:tcW w:type="dxa" w:w="1247"/>
          </w:tcPr>
          <w:p>
            <w:pPr>
              <w:spacing w:after="0" w:line="240" w:lineRule="auto"/>
              <w:jc w:val="center"/>
            </w:pPr>
            <w:r>
              <w:rPr>
                <w:b/>
              </w:rPr>
            </w:r>
          </w:p>
        </w:tc>
        <w:tc>
          <w:tcPr>
            <w:tcW w:type="dxa" w:w="1247"/>
          </w:tcPr>
          <w:p>
            <w:pPr>
              <w:spacing w:after="0" w:line="240" w:lineRule="auto"/>
              <w:jc w:val="center"/>
            </w:pPr>
            <w:r>
              <w:rPr>
                <w:b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>
              <w:rPr>
                <w:b/>
              </w:rPr>
            </w:r>
          </w:p>
        </w:tc>
      </w:tr>
      <w:tr>
        <w:tc>
          <w:tcPr>
            <w:tcW w:type="dxa" w:w="3515"/>
          </w:tcPr>
          <w:p>
            <w:pPr>
              <w:spacing w:after="0" w:line="240" w:lineRule="auto"/>
              <w:ind w:left="227"/>
            </w:pPr>
            <w:r/>
            <w:r>
              <w:rPr>
                <w:sz w:val="15"/>
              </w:rPr>
              <w:t xml:space="preserve">Never </w:t>
            </w:r>
          </w:p>
        </w:tc>
        <w:tc>
          <w:tcPr>
            <w:tcW w:type="dxa" w:w="1247"/>
          </w:tcPr>
          <w:p>
            <w:pPr>
              <w:spacing w:after="0" w:line="240" w:lineRule="auto"/>
              <w:jc w:val="center"/>
            </w:pPr>
            <w:r/>
            <w:r>
              <w:rPr>
                <w:sz w:val="15"/>
              </w:rPr>
              <w:t>11,823 (4.4)</w:t>
            </w:r>
          </w:p>
        </w:tc>
        <w:tc>
          <w:tcPr>
            <w:tcW w:type="dxa" w:w="1247"/>
          </w:tcPr>
          <w:p>
            <w:pPr>
              <w:spacing w:after="0" w:line="240" w:lineRule="auto"/>
              <w:jc w:val="center"/>
            </w:pPr>
            <w:r/>
            <w:r>
              <w:rPr>
                <w:sz w:val="15"/>
              </w:rPr>
              <w:t>564 (3.6)</w:t>
            </w:r>
          </w:p>
        </w:tc>
        <w:tc>
          <w:tcPr>
            <w:tcW w:type="dxa" w:w="1247"/>
          </w:tcPr>
          <w:p>
            <w:pPr>
              <w:spacing w:after="0" w:line="240" w:lineRule="auto"/>
              <w:jc w:val="center"/>
            </w:pPr>
            <w:r/>
            <w:r>
              <w:rPr>
                <w:sz w:val="15"/>
              </w:rPr>
              <w:t>11,259 (4.4)</w:t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sz w:val="15"/>
              </w:rPr>
              <w:t>&lt;0.001</w:t>
            </w:r>
          </w:p>
        </w:tc>
        <w:tc>
          <w:tcPr>
            <w:tcW w:type="dxa" w:w="1247"/>
          </w:tcPr>
          <w:p>
            <w:pPr>
              <w:spacing w:after="0" w:line="240" w:lineRule="auto"/>
              <w:jc w:val="center"/>
            </w:pPr>
            <w:r/>
            <w:r>
              <w:rPr>
                <w:sz w:val="15"/>
              </w:rPr>
              <w:t>11,879 (4.4)</w:t>
            </w:r>
          </w:p>
        </w:tc>
        <w:tc>
          <w:tcPr>
            <w:tcW w:type="dxa" w:w="1247"/>
          </w:tcPr>
          <w:p>
            <w:pPr>
              <w:spacing w:after="0" w:line="240" w:lineRule="auto"/>
              <w:jc w:val="center"/>
            </w:pPr>
            <w:r/>
            <w:r>
              <w:rPr>
                <w:sz w:val="15"/>
              </w:rPr>
              <w:t>388 (5.4)</w:t>
            </w:r>
          </w:p>
        </w:tc>
        <w:tc>
          <w:tcPr>
            <w:tcW w:type="dxa" w:w="1247"/>
          </w:tcPr>
          <w:p>
            <w:pPr>
              <w:spacing w:after="0" w:line="240" w:lineRule="auto"/>
              <w:jc w:val="center"/>
            </w:pPr>
            <w:r/>
            <w:r>
              <w:rPr>
                <w:sz w:val="15"/>
              </w:rPr>
              <w:t>11,491 (4.3)</w:t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sz w:val="15"/>
              </w:rPr>
              <w:t>&lt;0.001</w:t>
            </w:r>
          </w:p>
        </w:tc>
      </w:tr>
      <w:tr>
        <w:tc>
          <w:tcPr>
            <w:tcW w:type="dxa" w:w="3515"/>
          </w:tcPr>
          <w:p>
            <w:pPr>
              <w:spacing w:after="0" w:line="240" w:lineRule="auto"/>
              <w:ind w:left="227"/>
            </w:pPr>
            <w:r/>
            <w:r>
              <w:rPr>
                <w:sz w:val="15"/>
              </w:rPr>
              <w:t xml:space="preserve">Previous </w:t>
            </w:r>
          </w:p>
        </w:tc>
        <w:tc>
          <w:tcPr>
            <w:tcW w:type="dxa" w:w="1247"/>
          </w:tcPr>
          <w:p>
            <w:pPr>
              <w:spacing w:after="0" w:line="240" w:lineRule="auto"/>
              <w:jc w:val="center"/>
            </w:pPr>
            <w:r/>
            <w:r>
              <w:rPr>
                <w:sz w:val="15"/>
              </w:rPr>
              <w:t>9,694 (3.6)</w:t>
            </w:r>
          </w:p>
        </w:tc>
        <w:tc>
          <w:tcPr>
            <w:tcW w:type="dxa" w:w="1247"/>
          </w:tcPr>
          <w:p>
            <w:pPr>
              <w:spacing w:after="0" w:line="240" w:lineRule="auto"/>
              <w:jc w:val="center"/>
            </w:pPr>
            <w:r/>
            <w:r>
              <w:rPr>
                <w:sz w:val="15"/>
              </w:rPr>
              <w:t>638 (4.1)</w:t>
            </w:r>
          </w:p>
        </w:tc>
        <w:tc>
          <w:tcPr>
            <w:tcW w:type="dxa" w:w="1247"/>
          </w:tcPr>
          <w:p>
            <w:pPr>
              <w:spacing w:after="0" w:line="240" w:lineRule="auto"/>
              <w:jc w:val="center"/>
            </w:pPr>
            <w:r/>
            <w:r>
              <w:rPr>
                <w:sz w:val="15"/>
              </w:rPr>
              <w:t>9,056 (3.5)</w:t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sz w:val="15"/>
              </w:rPr>
              <w:t>&lt;0.001</w:t>
            </w:r>
          </w:p>
        </w:tc>
        <w:tc>
          <w:tcPr>
            <w:tcW w:type="dxa" w:w="1247"/>
          </w:tcPr>
          <w:p>
            <w:pPr>
              <w:spacing w:after="0" w:line="240" w:lineRule="auto"/>
              <w:jc w:val="center"/>
            </w:pPr>
            <w:r/>
            <w:r>
              <w:rPr>
                <w:sz w:val="15"/>
              </w:rPr>
              <w:t>9,743 (3.6)</w:t>
            </w:r>
          </w:p>
        </w:tc>
        <w:tc>
          <w:tcPr>
            <w:tcW w:type="dxa" w:w="1247"/>
          </w:tcPr>
          <w:p>
            <w:pPr>
              <w:spacing w:after="0" w:line="240" w:lineRule="auto"/>
              <w:jc w:val="center"/>
            </w:pPr>
            <w:r/>
            <w:r>
              <w:rPr>
                <w:sz w:val="15"/>
              </w:rPr>
              <w:t>358 (5.0)</w:t>
            </w:r>
          </w:p>
        </w:tc>
        <w:tc>
          <w:tcPr>
            <w:tcW w:type="dxa" w:w="1247"/>
          </w:tcPr>
          <w:p>
            <w:pPr>
              <w:spacing w:after="0" w:line="240" w:lineRule="auto"/>
              <w:jc w:val="center"/>
            </w:pPr>
            <w:r/>
            <w:r>
              <w:rPr>
                <w:sz w:val="15"/>
              </w:rPr>
              <w:t>9,385 (3.5)</w:t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sz w:val="15"/>
              </w:rPr>
              <w:t>&lt;0.001</w:t>
            </w:r>
          </w:p>
        </w:tc>
      </w:tr>
      <w:tr>
        <w:tc>
          <w:tcPr>
            <w:tcW w:type="dxa" w:w="3515"/>
          </w:tcPr>
          <w:p>
            <w:pPr>
              <w:spacing w:after="0" w:line="240" w:lineRule="auto"/>
              <w:ind w:left="227"/>
            </w:pPr>
            <w:r/>
            <w:r>
              <w:rPr>
                <w:sz w:val="15"/>
              </w:rPr>
              <w:t xml:space="preserve">Current </w:t>
            </w:r>
          </w:p>
        </w:tc>
        <w:tc>
          <w:tcPr>
            <w:tcW w:type="dxa" w:w="1247"/>
          </w:tcPr>
          <w:p>
            <w:pPr>
              <w:spacing w:after="0" w:line="240" w:lineRule="auto"/>
              <w:jc w:val="center"/>
            </w:pPr>
            <w:r/>
            <w:r>
              <w:rPr>
                <w:sz w:val="15"/>
              </w:rPr>
              <w:t>250,155 (92.1)</w:t>
            </w:r>
          </w:p>
        </w:tc>
        <w:tc>
          <w:tcPr>
            <w:tcW w:type="dxa" w:w="1247"/>
          </w:tcPr>
          <w:p>
            <w:pPr>
              <w:spacing w:after="0" w:line="240" w:lineRule="auto"/>
              <w:jc w:val="center"/>
            </w:pPr>
            <w:r/>
            <w:r>
              <w:rPr>
                <w:sz w:val="15"/>
              </w:rPr>
              <w:t>14,441 (92.3)</w:t>
            </w:r>
          </w:p>
        </w:tc>
        <w:tc>
          <w:tcPr>
            <w:tcW w:type="dxa" w:w="1247"/>
          </w:tcPr>
          <w:p>
            <w:pPr>
              <w:spacing w:after="0" w:line="240" w:lineRule="auto"/>
              <w:jc w:val="center"/>
            </w:pPr>
            <w:r/>
            <w:r>
              <w:rPr>
                <w:sz w:val="15"/>
              </w:rPr>
              <w:t>235,714 (92.1)</w:t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sz w:val="15"/>
              </w:rPr>
              <w:t>0.266</w:t>
            </w:r>
          </w:p>
        </w:tc>
        <w:tc>
          <w:tcPr>
            <w:tcW w:type="dxa" w:w="1247"/>
          </w:tcPr>
          <w:p>
            <w:pPr>
              <w:spacing w:after="0" w:line="240" w:lineRule="auto"/>
              <w:jc w:val="center"/>
            </w:pPr>
            <w:r/>
            <w:r>
              <w:rPr>
                <w:sz w:val="15"/>
              </w:rPr>
              <w:t>251,370 (92.1)</w:t>
            </w:r>
          </w:p>
        </w:tc>
        <w:tc>
          <w:tcPr>
            <w:tcW w:type="dxa" w:w="1247"/>
          </w:tcPr>
          <w:p>
            <w:pPr>
              <w:spacing w:after="0" w:line="240" w:lineRule="auto"/>
              <w:jc w:val="center"/>
            </w:pPr>
            <w:r/>
            <w:r>
              <w:rPr>
                <w:sz w:val="15"/>
              </w:rPr>
              <w:t>6,439 (89.6)</w:t>
            </w:r>
          </w:p>
        </w:tc>
        <w:tc>
          <w:tcPr>
            <w:tcW w:type="dxa" w:w="1247"/>
          </w:tcPr>
          <w:p>
            <w:pPr>
              <w:spacing w:after="0" w:line="240" w:lineRule="auto"/>
              <w:jc w:val="center"/>
            </w:pPr>
            <w:r/>
            <w:r>
              <w:rPr>
                <w:sz w:val="15"/>
              </w:rPr>
              <w:t>244,931 (92.1)</w:t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sz w:val="15"/>
              </w:rPr>
              <w:t>&lt;0.001</w:t>
            </w:r>
          </w:p>
        </w:tc>
      </w:tr>
      <w:tr>
        <w:tc>
          <w:tcPr>
            <w:tcW w:type="dxa" w:w="3515"/>
          </w:tcPr>
          <w:p>
            <w:pPr>
              <w:spacing w:after="0" w:line="240" w:lineRule="auto"/>
            </w:pPr>
            <w:r/>
            <w:r>
              <w:rPr>
                <w:sz w:val="15"/>
              </w:rPr>
              <w:t>HbA1c, mmol/mol</w:t>
            </w:r>
          </w:p>
        </w:tc>
        <w:tc>
          <w:tcPr>
            <w:tcW w:type="dxa" w:w="1247"/>
          </w:tcPr>
          <w:p>
            <w:pPr>
              <w:spacing w:after="0" w:line="240" w:lineRule="auto"/>
              <w:jc w:val="center"/>
            </w:pPr>
            <w:r/>
            <w:r>
              <w:rPr>
                <w:sz w:val="15"/>
              </w:rPr>
              <w:t>35.2 (32.8–37.9)</w:t>
            </w:r>
          </w:p>
        </w:tc>
        <w:tc>
          <w:tcPr>
            <w:tcW w:type="dxa" w:w="1247"/>
          </w:tcPr>
          <w:p>
            <w:pPr>
              <w:spacing w:after="0" w:line="240" w:lineRule="auto"/>
              <w:jc w:val="center"/>
            </w:pPr>
            <w:r/>
            <w:r>
              <w:rPr>
                <w:sz w:val="15"/>
              </w:rPr>
              <w:t>36.0 (33.3–38.9)</w:t>
            </w:r>
          </w:p>
        </w:tc>
        <w:tc>
          <w:tcPr>
            <w:tcW w:type="dxa" w:w="1247"/>
          </w:tcPr>
          <w:p>
            <w:pPr>
              <w:spacing w:after="0" w:line="240" w:lineRule="auto"/>
              <w:jc w:val="center"/>
            </w:pPr>
            <w:r/>
            <w:r>
              <w:rPr>
                <w:sz w:val="15"/>
              </w:rPr>
              <w:t>35.2 (32.7–37.9)</w:t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sz w:val="15"/>
              </w:rPr>
              <w:t>&lt;0.001</w:t>
            </w:r>
          </w:p>
        </w:tc>
        <w:tc>
          <w:tcPr>
            <w:tcW w:type="dxa" w:w="1247"/>
          </w:tcPr>
          <w:p>
            <w:pPr>
              <w:spacing w:after="0" w:line="240" w:lineRule="auto"/>
              <w:jc w:val="center"/>
            </w:pPr>
            <w:r/>
            <w:r>
              <w:rPr>
                <w:sz w:val="15"/>
              </w:rPr>
              <w:t>35.2 (32.8–37.9)</w:t>
            </w:r>
          </w:p>
        </w:tc>
        <w:tc>
          <w:tcPr>
            <w:tcW w:type="dxa" w:w="1247"/>
          </w:tcPr>
          <w:p>
            <w:pPr>
              <w:spacing w:after="0" w:line="240" w:lineRule="auto"/>
              <w:jc w:val="center"/>
            </w:pPr>
            <w:r/>
            <w:r>
              <w:rPr>
                <w:sz w:val="15"/>
              </w:rPr>
              <w:t>36.1 (33.5–39.1)</w:t>
            </w:r>
          </w:p>
        </w:tc>
        <w:tc>
          <w:tcPr>
            <w:tcW w:type="dxa" w:w="1247"/>
          </w:tcPr>
          <w:p>
            <w:pPr>
              <w:spacing w:after="0" w:line="240" w:lineRule="auto"/>
              <w:jc w:val="center"/>
            </w:pPr>
            <w:r/>
            <w:r>
              <w:rPr>
                <w:sz w:val="15"/>
              </w:rPr>
              <w:t>35.2 (32.8–37.9)</w:t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sz w:val="15"/>
              </w:rPr>
              <w:t>&lt;0.001</w:t>
            </w:r>
          </w:p>
        </w:tc>
      </w:tr>
      <w:tr>
        <w:tc>
          <w:tcPr>
            <w:tcW w:type="dxa" w:w="3515"/>
          </w:tcPr>
          <w:p>
            <w:pPr>
              <w:spacing w:after="0" w:line="240" w:lineRule="auto"/>
            </w:pPr>
            <w:r/>
            <w:r>
              <w:rPr>
                <w:sz w:val="15"/>
              </w:rPr>
              <w:t>C-reactive protein, mg/L</w:t>
            </w:r>
          </w:p>
        </w:tc>
        <w:tc>
          <w:tcPr>
            <w:tcW w:type="dxa" w:w="1247"/>
          </w:tcPr>
          <w:p>
            <w:pPr>
              <w:spacing w:after="0" w:line="240" w:lineRule="auto"/>
              <w:jc w:val="center"/>
            </w:pPr>
            <w:r/>
            <w:r>
              <w:rPr>
                <w:sz w:val="15"/>
              </w:rPr>
              <w:t>1.33 (0.66–2.77)</w:t>
            </w:r>
          </w:p>
        </w:tc>
        <w:tc>
          <w:tcPr>
            <w:tcW w:type="dxa" w:w="1247"/>
          </w:tcPr>
          <w:p>
            <w:pPr>
              <w:spacing w:after="0" w:line="240" w:lineRule="auto"/>
              <w:jc w:val="center"/>
            </w:pPr>
            <w:r/>
            <w:r>
              <w:rPr>
                <w:sz w:val="15"/>
              </w:rPr>
              <w:t>1.57 (0.78–3.23)</w:t>
            </w:r>
          </w:p>
        </w:tc>
        <w:tc>
          <w:tcPr>
            <w:tcW w:type="dxa" w:w="1247"/>
          </w:tcPr>
          <w:p>
            <w:pPr>
              <w:spacing w:after="0" w:line="240" w:lineRule="auto"/>
              <w:jc w:val="center"/>
            </w:pPr>
            <w:r/>
            <w:r>
              <w:rPr>
                <w:sz w:val="15"/>
              </w:rPr>
              <w:t>1.32 (0.65–2.74)</w:t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sz w:val="15"/>
              </w:rPr>
              <w:t>&lt;0.001</w:t>
            </w:r>
          </w:p>
        </w:tc>
        <w:tc>
          <w:tcPr>
            <w:tcW w:type="dxa" w:w="1247"/>
          </w:tcPr>
          <w:p>
            <w:pPr>
              <w:spacing w:after="0" w:line="240" w:lineRule="auto"/>
              <w:jc w:val="center"/>
            </w:pPr>
            <w:r/>
            <w:r>
              <w:rPr>
                <w:sz w:val="15"/>
              </w:rPr>
              <w:t>1.33 (0.66–2.77)</w:t>
            </w:r>
          </w:p>
        </w:tc>
        <w:tc>
          <w:tcPr>
            <w:tcW w:type="dxa" w:w="1247"/>
          </w:tcPr>
          <w:p>
            <w:pPr>
              <w:spacing w:after="0" w:line="240" w:lineRule="auto"/>
              <w:jc w:val="center"/>
            </w:pPr>
            <w:r/>
            <w:r>
              <w:rPr>
                <w:sz w:val="15"/>
              </w:rPr>
              <w:t>1.64 (0.81–3.31)</w:t>
            </w:r>
          </w:p>
        </w:tc>
        <w:tc>
          <w:tcPr>
            <w:tcW w:type="dxa" w:w="1247"/>
          </w:tcPr>
          <w:p>
            <w:pPr>
              <w:spacing w:after="0" w:line="240" w:lineRule="auto"/>
              <w:jc w:val="center"/>
            </w:pPr>
            <w:r/>
            <w:r>
              <w:rPr>
                <w:sz w:val="15"/>
              </w:rPr>
              <w:t>1.33 (0.66–2.76)</w:t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sz w:val="15"/>
              </w:rPr>
              <w:t>&lt;0.001</w:t>
            </w:r>
          </w:p>
        </w:tc>
      </w:tr>
      <w:tr>
        <w:tc>
          <w:tcPr>
            <w:tcW w:type="dxa" w:w="3515"/>
          </w:tcPr>
          <w:p>
            <w:pPr>
              <w:spacing w:after="0" w:line="240" w:lineRule="auto"/>
            </w:pPr>
            <w:r/>
            <w:r>
              <w:rPr>
                <w:sz w:val="15"/>
              </w:rPr>
              <w:t>Prior hospital diagnoses, number of ICD-10 codes</w:t>
            </w:r>
          </w:p>
        </w:tc>
        <w:tc>
          <w:tcPr>
            <w:tcW w:type="dxa" w:w="1247"/>
          </w:tcPr>
          <w:p>
            <w:pPr>
              <w:spacing w:after="0" w:line="240" w:lineRule="auto"/>
              <w:jc w:val="center"/>
            </w:pPr>
            <w:r/>
            <w:r>
              <w:rPr>
                <w:sz w:val="15"/>
              </w:rPr>
              <w:t>1 (0–4)</w:t>
            </w:r>
          </w:p>
        </w:tc>
        <w:tc>
          <w:tcPr>
            <w:tcW w:type="dxa" w:w="1247"/>
          </w:tcPr>
          <w:p>
            <w:pPr>
              <w:spacing w:after="0" w:line="240" w:lineRule="auto"/>
              <w:jc w:val="center"/>
            </w:pPr>
            <w:r/>
            <w:r>
              <w:rPr>
                <w:sz w:val="15"/>
              </w:rPr>
              <w:t>2 (0–6)</w:t>
            </w:r>
          </w:p>
        </w:tc>
        <w:tc>
          <w:tcPr>
            <w:tcW w:type="dxa" w:w="1247"/>
          </w:tcPr>
          <w:p>
            <w:pPr>
              <w:spacing w:after="0" w:line="240" w:lineRule="auto"/>
              <w:jc w:val="center"/>
            </w:pPr>
            <w:r/>
            <w:r>
              <w:rPr>
                <w:sz w:val="15"/>
              </w:rPr>
              <w:t>1 (0–4)</w:t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sz w:val="15"/>
              </w:rPr>
              <w:t>&lt;0.001</w:t>
            </w:r>
          </w:p>
        </w:tc>
        <w:tc>
          <w:tcPr>
            <w:tcW w:type="dxa" w:w="1247"/>
          </w:tcPr>
          <w:p>
            <w:pPr>
              <w:spacing w:after="0" w:line="240" w:lineRule="auto"/>
              <w:jc w:val="center"/>
            </w:pPr>
            <w:r/>
            <w:r>
              <w:rPr>
                <w:sz w:val="15"/>
              </w:rPr>
              <w:t>1 (0–4)</w:t>
            </w:r>
          </w:p>
        </w:tc>
        <w:tc>
          <w:tcPr>
            <w:tcW w:type="dxa" w:w="1247"/>
          </w:tcPr>
          <w:p>
            <w:pPr>
              <w:spacing w:after="0" w:line="240" w:lineRule="auto"/>
              <w:jc w:val="center"/>
            </w:pPr>
            <w:r/>
            <w:r>
              <w:rPr>
                <w:sz w:val="15"/>
              </w:rPr>
              <w:t>3 (1–7)</w:t>
            </w:r>
          </w:p>
        </w:tc>
        <w:tc>
          <w:tcPr>
            <w:tcW w:type="dxa" w:w="1247"/>
          </w:tcPr>
          <w:p>
            <w:pPr>
              <w:spacing w:after="0" w:line="240" w:lineRule="auto"/>
              <w:jc w:val="center"/>
            </w:pPr>
            <w:r/>
            <w:r>
              <w:rPr>
                <w:sz w:val="15"/>
              </w:rPr>
              <w:t>1 (0–4)</w:t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sz w:val="15"/>
              </w:rPr>
              <w:t>&lt;0.001</w:t>
            </w:r>
          </w:p>
        </w:tc>
      </w:tr>
      <w:tr>
        <w:tc>
          <w:tcPr>
            <w:tcW w:type="dxa" w:w="3515"/>
          </w:tcPr>
          <w:p>
            <w:pPr>
              <w:spacing w:after="0" w:line="240" w:lineRule="auto"/>
            </w:pPr>
            <w:r/>
            <w:r>
              <w:rPr>
                <w:sz w:val="15"/>
              </w:rPr>
              <w:t>Disorders of lipoprotein metabolism (E78), n (%)</w:t>
            </w:r>
          </w:p>
        </w:tc>
        <w:tc>
          <w:tcPr>
            <w:tcW w:type="dxa" w:w="1247"/>
          </w:tcPr>
          <w:p>
            <w:pPr>
              <w:spacing w:after="0" w:line="240" w:lineRule="auto"/>
              <w:jc w:val="center"/>
            </w:pPr>
            <w:r/>
            <w:r>
              <w:rPr>
                <w:sz w:val="15"/>
              </w:rPr>
              <w:t>9,423 (3.5)</w:t>
            </w:r>
          </w:p>
        </w:tc>
        <w:tc>
          <w:tcPr>
            <w:tcW w:type="dxa" w:w="1247"/>
          </w:tcPr>
          <w:p>
            <w:pPr>
              <w:spacing w:after="0" w:line="240" w:lineRule="auto"/>
              <w:jc w:val="center"/>
            </w:pPr>
            <w:r/>
            <w:r>
              <w:rPr>
                <w:sz w:val="15"/>
              </w:rPr>
              <w:t>980 (6.3)</w:t>
            </w:r>
          </w:p>
        </w:tc>
        <w:tc>
          <w:tcPr>
            <w:tcW w:type="dxa" w:w="1247"/>
          </w:tcPr>
          <w:p>
            <w:pPr>
              <w:spacing w:after="0" w:line="240" w:lineRule="auto"/>
              <w:jc w:val="center"/>
            </w:pPr>
            <w:r/>
            <w:r>
              <w:rPr>
                <w:sz w:val="15"/>
              </w:rPr>
              <w:t>8,443 (3.3)</w:t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sz w:val="15"/>
              </w:rPr>
              <w:t>&lt;0.001</w:t>
            </w:r>
          </w:p>
        </w:tc>
        <w:tc>
          <w:tcPr>
            <w:tcW w:type="dxa" w:w="1247"/>
          </w:tcPr>
          <w:p>
            <w:pPr>
              <w:spacing w:after="0" w:line="240" w:lineRule="auto"/>
              <w:jc w:val="center"/>
            </w:pPr>
            <w:r/>
            <w:r>
              <w:rPr>
                <w:sz w:val="15"/>
              </w:rPr>
              <w:t>9,556 (3.5)</w:t>
            </w:r>
          </w:p>
        </w:tc>
        <w:tc>
          <w:tcPr>
            <w:tcW w:type="dxa" w:w="1247"/>
          </w:tcPr>
          <w:p>
            <w:pPr>
              <w:spacing w:after="0" w:line="240" w:lineRule="auto"/>
              <w:jc w:val="center"/>
            </w:pPr>
            <w:r/>
            <w:r>
              <w:rPr>
                <w:sz w:val="15"/>
              </w:rPr>
              <w:t>469 (6.5)</w:t>
            </w:r>
          </w:p>
        </w:tc>
        <w:tc>
          <w:tcPr>
            <w:tcW w:type="dxa" w:w="1247"/>
          </w:tcPr>
          <w:p>
            <w:pPr>
              <w:spacing w:after="0" w:line="240" w:lineRule="auto"/>
              <w:jc w:val="center"/>
            </w:pPr>
            <w:r/>
            <w:r>
              <w:rPr>
                <w:sz w:val="15"/>
              </w:rPr>
              <w:t>9,087 (3.4)</w:t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sz w:val="15"/>
              </w:rPr>
              <w:t>&lt;0.001</w:t>
            </w:r>
          </w:p>
        </w:tc>
      </w:tr>
      <w:tr>
        <w:tc>
          <w:tcPr>
            <w:tcW w:type="dxa" w:w="3515"/>
          </w:tcPr>
          <w:p>
            <w:pPr>
              <w:spacing w:after="0" w:line="240" w:lineRule="auto"/>
            </w:pPr>
            <w:r/>
            <w:r>
              <w:rPr>
                <w:sz w:val="15"/>
              </w:rPr>
              <w:t>Ischaemic heart disease (I20–I25), n (%)</w:t>
            </w:r>
          </w:p>
        </w:tc>
        <w:tc>
          <w:tcPr>
            <w:tcW w:type="dxa" w:w="1247"/>
          </w:tcPr>
          <w:p>
            <w:pPr>
              <w:spacing w:after="0" w:line="240" w:lineRule="auto"/>
              <w:jc w:val="center"/>
            </w:pPr>
            <w:r/>
            <w:r>
              <w:rPr>
                <w:sz w:val="15"/>
              </w:rPr>
              <w:t>11,183 (4.1)</w:t>
            </w:r>
          </w:p>
        </w:tc>
        <w:tc>
          <w:tcPr>
            <w:tcW w:type="dxa" w:w="1247"/>
          </w:tcPr>
          <w:p>
            <w:pPr>
              <w:spacing w:after="0" w:line="240" w:lineRule="auto"/>
              <w:jc w:val="center"/>
            </w:pPr>
            <w:r/>
            <w:r>
              <w:rPr>
                <w:sz w:val="15"/>
              </w:rPr>
              <w:t>1,056 (6.7)</w:t>
            </w:r>
          </w:p>
        </w:tc>
        <w:tc>
          <w:tcPr>
            <w:tcW w:type="dxa" w:w="1247"/>
          </w:tcPr>
          <w:p>
            <w:pPr>
              <w:spacing w:after="0" w:line="240" w:lineRule="auto"/>
              <w:jc w:val="center"/>
            </w:pPr>
            <w:r/>
            <w:r>
              <w:rPr>
                <w:sz w:val="15"/>
              </w:rPr>
              <w:t>10,127 (3.9)</w:t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sz w:val="15"/>
              </w:rPr>
              <w:t>&lt;0.001</w:t>
            </w:r>
          </w:p>
        </w:tc>
        <w:tc>
          <w:tcPr>
            <w:tcW w:type="dxa" w:w="1247"/>
          </w:tcPr>
          <w:p>
            <w:pPr>
              <w:spacing w:after="0" w:line="240" w:lineRule="auto"/>
              <w:jc w:val="center"/>
            </w:pPr>
            <w:r/>
            <w:r>
              <w:rPr>
                <w:sz w:val="15"/>
              </w:rPr>
              <w:t>11,319 (4.1)</w:t>
            </w:r>
          </w:p>
        </w:tc>
        <w:tc>
          <w:tcPr>
            <w:tcW w:type="dxa" w:w="1247"/>
          </w:tcPr>
          <w:p>
            <w:pPr>
              <w:spacing w:after="0" w:line="240" w:lineRule="auto"/>
              <w:jc w:val="center"/>
            </w:pPr>
            <w:r/>
            <w:r>
              <w:rPr>
                <w:sz w:val="15"/>
              </w:rPr>
              <w:t>490 (6.8)</w:t>
            </w:r>
          </w:p>
        </w:tc>
        <w:tc>
          <w:tcPr>
            <w:tcW w:type="dxa" w:w="1247"/>
          </w:tcPr>
          <w:p>
            <w:pPr>
              <w:spacing w:after="0" w:line="240" w:lineRule="auto"/>
              <w:jc w:val="center"/>
            </w:pPr>
            <w:r/>
            <w:r>
              <w:rPr>
                <w:sz w:val="15"/>
              </w:rPr>
              <w:t>10,829 (4.1)</w:t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sz w:val="15"/>
              </w:rPr>
              <w:t>&lt;0.001</w:t>
            </w:r>
          </w:p>
        </w:tc>
      </w:tr>
      <w:tr>
        <w:tc>
          <w:tcPr>
            <w:tcW w:type="dxa" w:w="3515"/>
          </w:tcPr>
          <w:p>
            <w:pPr>
              <w:spacing w:after="0" w:line="240" w:lineRule="auto"/>
            </w:pPr>
            <w:r/>
            <w:r>
              <w:rPr>
                <w:sz w:val="15"/>
              </w:rPr>
              <w:t>Hypertension (I10–I15), n (%)</w:t>
            </w:r>
          </w:p>
        </w:tc>
        <w:tc>
          <w:tcPr>
            <w:tcW w:type="dxa" w:w="1247"/>
          </w:tcPr>
          <w:p>
            <w:pPr>
              <w:spacing w:after="0" w:line="240" w:lineRule="auto"/>
              <w:jc w:val="center"/>
            </w:pPr>
            <w:r/>
            <w:r>
              <w:rPr>
                <w:sz w:val="15"/>
              </w:rPr>
              <w:t>21,526 (7.9)</w:t>
            </w:r>
          </w:p>
        </w:tc>
        <w:tc>
          <w:tcPr>
            <w:tcW w:type="dxa" w:w="1247"/>
          </w:tcPr>
          <w:p>
            <w:pPr>
              <w:spacing w:after="0" w:line="240" w:lineRule="auto"/>
              <w:jc w:val="center"/>
            </w:pPr>
            <w:r/>
            <w:r>
              <w:rPr>
                <w:sz w:val="15"/>
              </w:rPr>
              <w:t>2,053 (13.1)</w:t>
            </w:r>
          </w:p>
        </w:tc>
        <w:tc>
          <w:tcPr>
            <w:tcW w:type="dxa" w:w="1247"/>
          </w:tcPr>
          <w:p>
            <w:pPr>
              <w:spacing w:after="0" w:line="240" w:lineRule="auto"/>
              <w:jc w:val="center"/>
            </w:pPr>
            <w:r/>
            <w:r>
              <w:rPr>
                <w:sz w:val="15"/>
              </w:rPr>
              <w:t>19,473 (7.6)</w:t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sz w:val="15"/>
              </w:rPr>
              <w:t>&lt;0.001</w:t>
            </w:r>
          </w:p>
        </w:tc>
        <w:tc>
          <w:tcPr>
            <w:tcW w:type="dxa" w:w="1247"/>
          </w:tcPr>
          <w:p>
            <w:pPr>
              <w:spacing w:after="0" w:line="240" w:lineRule="auto"/>
              <w:jc w:val="center"/>
            </w:pPr>
            <w:r/>
            <w:r>
              <w:rPr>
                <w:sz w:val="15"/>
              </w:rPr>
              <w:t>21,791 (8.0)</w:t>
            </w:r>
          </w:p>
        </w:tc>
        <w:tc>
          <w:tcPr>
            <w:tcW w:type="dxa" w:w="1247"/>
          </w:tcPr>
          <w:p>
            <w:pPr>
              <w:spacing w:after="0" w:line="240" w:lineRule="auto"/>
              <w:jc w:val="center"/>
            </w:pPr>
            <w:r/>
            <w:r>
              <w:rPr>
                <w:sz w:val="15"/>
              </w:rPr>
              <w:t>1,101 (15.3)</w:t>
            </w:r>
          </w:p>
        </w:tc>
        <w:tc>
          <w:tcPr>
            <w:tcW w:type="dxa" w:w="1247"/>
          </w:tcPr>
          <w:p>
            <w:pPr>
              <w:spacing w:after="0" w:line="240" w:lineRule="auto"/>
              <w:jc w:val="center"/>
            </w:pPr>
            <w:r/>
            <w:r>
              <w:rPr>
                <w:sz w:val="15"/>
              </w:rPr>
              <w:t>20,690 (7.8)</w:t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sz w:val="15"/>
              </w:rPr>
              <w:t>&lt;0.001</w:t>
            </w:r>
          </w:p>
        </w:tc>
      </w:tr>
      <w:tr>
        <w:tc>
          <w:tcPr>
            <w:tcW w:type="dxa" w:w="3515"/>
          </w:tcPr>
          <w:p>
            <w:pPr>
              <w:spacing w:after="0" w:line="240" w:lineRule="auto"/>
            </w:pPr>
            <w:r/>
            <w:r>
              <w:rPr>
                <w:sz w:val="15"/>
              </w:rPr>
              <w:t>Diabetes (E10–E14), n (%)</w:t>
            </w:r>
          </w:p>
        </w:tc>
        <w:tc>
          <w:tcPr>
            <w:tcW w:type="dxa" w:w="1247"/>
          </w:tcPr>
          <w:p>
            <w:pPr>
              <w:spacing w:after="0" w:line="240" w:lineRule="auto"/>
              <w:jc w:val="center"/>
            </w:pPr>
            <w:r/>
            <w:r>
              <w:rPr>
                <w:sz w:val="15"/>
              </w:rPr>
              <w:t>5,996 (2.2)</w:t>
            </w:r>
          </w:p>
        </w:tc>
        <w:tc>
          <w:tcPr>
            <w:tcW w:type="dxa" w:w="1247"/>
          </w:tcPr>
          <w:p>
            <w:pPr>
              <w:spacing w:after="0" w:line="240" w:lineRule="auto"/>
              <w:jc w:val="center"/>
            </w:pPr>
            <w:r/>
            <w:r>
              <w:rPr>
                <w:sz w:val="15"/>
              </w:rPr>
              <w:t>646 (4.1)</w:t>
            </w:r>
          </w:p>
        </w:tc>
        <w:tc>
          <w:tcPr>
            <w:tcW w:type="dxa" w:w="1247"/>
          </w:tcPr>
          <w:p>
            <w:pPr>
              <w:spacing w:after="0" w:line="240" w:lineRule="auto"/>
              <w:jc w:val="center"/>
            </w:pPr>
            <w:r/>
            <w:r>
              <w:rPr>
                <w:sz w:val="15"/>
              </w:rPr>
              <w:t>5,350 (2.1)</w:t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sz w:val="15"/>
              </w:rPr>
              <w:t>&lt;0.001</w:t>
            </w:r>
          </w:p>
        </w:tc>
        <w:tc>
          <w:tcPr>
            <w:tcW w:type="dxa" w:w="1247"/>
          </w:tcPr>
          <w:p>
            <w:pPr>
              <w:spacing w:after="0" w:line="240" w:lineRule="auto"/>
              <w:jc w:val="center"/>
            </w:pPr>
            <w:r/>
            <w:r>
              <w:rPr>
                <w:sz w:val="15"/>
              </w:rPr>
              <w:t>6,080 (2.2)</w:t>
            </w:r>
          </w:p>
        </w:tc>
        <w:tc>
          <w:tcPr>
            <w:tcW w:type="dxa" w:w="1247"/>
          </w:tcPr>
          <w:p>
            <w:pPr>
              <w:spacing w:after="0" w:line="240" w:lineRule="auto"/>
              <w:jc w:val="center"/>
            </w:pPr>
            <w:r/>
            <w:r>
              <w:rPr>
                <w:sz w:val="15"/>
              </w:rPr>
              <w:t>328 (4.5)</w:t>
            </w:r>
          </w:p>
        </w:tc>
        <w:tc>
          <w:tcPr>
            <w:tcW w:type="dxa" w:w="1247"/>
          </w:tcPr>
          <w:p>
            <w:pPr>
              <w:spacing w:after="0" w:line="240" w:lineRule="auto"/>
              <w:jc w:val="center"/>
            </w:pPr>
            <w:r/>
            <w:r>
              <w:rPr>
                <w:sz w:val="15"/>
              </w:rPr>
              <w:t>5,752 (2.2)</w:t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sz w:val="15"/>
              </w:rPr>
              <w:t>&lt;0.001</w:t>
            </w:r>
          </w:p>
        </w:tc>
      </w:tr>
      <w:tr>
        <w:tc>
          <w:tcPr>
            <w:tcW w:type="dxa" w:w="3515"/>
          </w:tcPr>
          <w:p>
            <w:pPr>
              <w:spacing w:after="0" w:line="240" w:lineRule="auto"/>
            </w:pPr>
            <w:r/>
            <w:r>
              <w:rPr>
                <w:sz w:val="15"/>
              </w:rPr>
              <w:t>Total triglycerides, mmol/L</w:t>
            </w:r>
          </w:p>
        </w:tc>
        <w:tc>
          <w:tcPr>
            <w:tcW w:type="dxa" w:w="1247"/>
          </w:tcPr>
          <w:p>
            <w:pPr>
              <w:spacing w:after="0" w:line="240" w:lineRule="auto"/>
              <w:jc w:val="center"/>
            </w:pPr>
            <w:r/>
            <w:r>
              <w:rPr>
                <w:sz w:val="15"/>
              </w:rPr>
              <w:t>1.20 (0.88–1.64)</w:t>
            </w:r>
          </w:p>
        </w:tc>
        <w:tc>
          <w:tcPr>
            <w:tcW w:type="dxa" w:w="1247"/>
          </w:tcPr>
          <w:p>
            <w:pPr>
              <w:spacing w:after="0" w:line="240" w:lineRule="auto"/>
              <w:jc w:val="center"/>
            </w:pPr>
            <w:r/>
            <w:r>
              <w:rPr>
                <w:sz w:val="15"/>
              </w:rPr>
              <w:t>1.30 (0.95–1.75)</w:t>
            </w:r>
          </w:p>
        </w:tc>
        <w:tc>
          <w:tcPr>
            <w:tcW w:type="dxa" w:w="1247"/>
          </w:tcPr>
          <w:p>
            <w:pPr>
              <w:spacing w:after="0" w:line="240" w:lineRule="auto"/>
              <w:jc w:val="center"/>
            </w:pPr>
            <w:r/>
            <w:r>
              <w:rPr>
                <w:sz w:val="15"/>
              </w:rPr>
              <w:t>1.20 (0.88–1.63)</w:t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sz w:val="15"/>
              </w:rPr>
              <w:t>&lt;0.001</w:t>
            </w:r>
          </w:p>
        </w:tc>
        <w:tc>
          <w:tcPr>
            <w:tcW w:type="dxa" w:w="1247"/>
          </w:tcPr>
          <w:p>
            <w:pPr>
              <w:spacing w:after="0" w:line="240" w:lineRule="auto"/>
              <w:jc w:val="center"/>
            </w:pPr>
            <w:r/>
            <w:r>
              <w:rPr>
                <w:sz w:val="15"/>
              </w:rPr>
              <w:t>1.20 (0.88–1.64)</w:t>
            </w:r>
          </w:p>
        </w:tc>
        <w:tc>
          <w:tcPr>
            <w:tcW w:type="dxa" w:w="1247"/>
          </w:tcPr>
          <w:p>
            <w:pPr>
              <w:spacing w:after="0" w:line="240" w:lineRule="auto"/>
              <w:jc w:val="center"/>
            </w:pPr>
            <w:r/>
            <w:r>
              <w:rPr>
                <w:sz w:val="15"/>
              </w:rPr>
              <w:t>1.29 (0.95–1.72)</w:t>
            </w:r>
          </w:p>
        </w:tc>
        <w:tc>
          <w:tcPr>
            <w:tcW w:type="dxa" w:w="1247"/>
          </w:tcPr>
          <w:p>
            <w:pPr>
              <w:spacing w:after="0" w:line="240" w:lineRule="auto"/>
              <w:jc w:val="center"/>
            </w:pPr>
            <w:r/>
            <w:r>
              <w:rPr>
                <w:sz w:val="15"/>
              </w:rPr>
              <w:t>1.20 (0.88–1.64)</w:t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sz w:val="15"/>
              </w:rPr>
              <w:t>&lt;0.001</w:t>
            </w:r>
          </w:p>
        </w:tc>
      </w:tr>
      <w:tr>
        <w:tc>
          <w:tcPr>
            <w:tcW w:type="dxa" w:w="3515"/>
          </w:tcPr>
          <w:p>
            <w:pPr>
              <w:spacing w:after="0" w:line="240" w:lineRule="auto"/>
            </w:pPr>
            <w:r/>
            <w:r>
              <w:rPr>
                <w:sz w:val="15"/>
              </w:rPr>
              <w:t>HDL cholesterol, mmol/L</w:t>
            </w:r>
          </w:p>
        </w:tc>
        <w:tc>
          <w:tcPr>
            <w:tcW w:type="dxa" w:w="1247"/>
          </w:tcPr>
          <w:p>
            <w:pPr>
              <w:spacing w:after="0" w:line="240" w:lineRule="auto"/>
              <w:jc w:val="center"/>
            </w:pPr>
            <w:r/>
            <w:r>
              <w:rPr>
                <w:sz w:val="15"/>
              </w:rPr>
              <w:t>1.33 (0.33)</w:t>
            </w:r>
          </w:p>
        </w:tc>
        <w:tc>
          <w:tcPr>
            <w:tcW w:type="dxa" w:w="1247"/>
          </w:tcPr>
          <w:p>
            <w:pPr>
              <w:spacing w:after="0" w:line="240" w:lineRule="auto"/>
              <w:jc w:val="center"/>
            </w:pPr>
            <w:r/>
            <w:r>
              <w:rPr>
                <w:sz w:val="15"/>
              </w:rPr>
              <w:t>1.28 (0.32)</w:t>
            </w:r>
          </w:p>
        </w:tc>
        <w:tc>
          <w:tcPr>
            <w:tcW w:type="dxa" w:w="1247"/>
          </w:tcPr>
          <w:p>
            <w:pPr>
              <w:spacing w:after="0" w:line="240" w:lineRule="auto"/>
              <w:jc w:val="center"/>
            </w:pPr>
            <w:r/>
            <w:r>
              <w:rPr>
                <w:sz w:val="15"/>
              </w:rPr>
              <w:t>1.33 (0.33)</w:t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sz w:val="15"/>
              </w:rPr>
              <w:t>&lt;0.001</w:t>
            </w:r>
          </w:p>
        </w:tc>
        <w:tc>
          <w:tcPr>
            <w:tcW w:type="dxa" w:w="1247"/>
          </w:tcPr>
          <w:p>
            <w:pPr>
              <w:spacing w:after="0" w:line="240" w:lineRule="auto"/>
              <w:jc w:val="center"/>
            </w:pPr>
            <w:r/>
            <w:r>
              <w:rPr>
                <w:sz w:val="15"/>
              </w:rPr>
              <w:t>1.33 (0.33)</w:t>
            </w:r>
          </w:p>
        </w:tc>
        <w:tc>
          <w:tcPr>
            <w:tcW w:type="dxa" w:w="1247"/>
          </w:tcPr>
          <w:p>
            <w:pPr>
              <w:spacing w:after="0" w:line="240" w:lineRule="auto"/>
              <w:jc w:val="center"/>
            </w:pPr>
            <w:r/>
            <w:r>
              <w:rPr>
                <w:sz w:val="15"/>
              </w:rPr>
              <w:t>1.29 (0.31)</w:t>
            </w:r>
          </w:p>
        </w:tc>
        <w:tc>
          <w:tcPr>
            <w:tcW w:type="dxa" w:w="1247"/>
          </w:tcPr>
          <w:p>
            <w:pPr>
              <w:spacing w:after="0" w:line="240" w:lineRule="auto"/>
              <w:jc w:val="center"/>
            </w:pPr>
            <w:r/>
            <w:r>
              <w:rPr>
                <w:sz w:val="15"/>
              </w:rPr>
              <w:t>1.33 (0.33)</w:t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sz w:val="15"/>
              </w:rPr>
              <w:t>&lt;0.001</w:t>
            </w:r>
          </w:p>
        </w:tc>
      </w:tr>
      <w:tr>
        <w:tc>
          <w:tcPr>
            <w:tcW w:type="dxa" w:w="3515"/>
          </w:tcPr>
          <w:p>
            <w:pPr>
              <w:spacing w:after="0" w:line="240" w:lineRule="auto"/>
            </w:pPr>
            <w:r/>
            <w:r>
              <w:rPr>
                <w:sz w:val="15"/>
              </w:rPr>
              <w:t>LDL cholesterol, mmol/L</w:t>
            </w:r>
          </w:p>
        </w:tc>
        <w:tc>
          <w:tcPr>
            <w:tcW w:type="dxa" w:w="1247"/>
          </w:tcPr>
          <w:p>
            <w:pPr>
              <w:spacing w:after="0" w:line="240" w:lineRule="auto"/>
              <w:jc w:val="center"/>
            </w:pPr>
            <w:r/>
            <w:r>
              <w:rPr>
                <w:sz w:val="15"/>
              </w:rPr>
              <w:t>1.75 (0.44)</w:t>
            </w:r>
          </w:p>
        </w:tc>
        <w:tc>
          <w:tcPr>
            <w:tcW w:type="dxa" w:w="1247"/>
          </w:tcPr>
          <w:p>
            <w:pPr>
              <w:spacing w:after="0" w:line="240" w:lineRule="auto"/>
              <w:jc w:val="center"/>
            </w:pPr>
            <w:r/>
            <w:r>
              <w:rPr>
                <w:sz w:val="15"/>
              </w:rPr>
              <w:t>1.72 (0.45)</w:t>
            </w:r>
          </w:p>
        </w:tc>
        <w:tc>
          <w:tcPr>
            <w:tcW w:type="dxa" w:w="1247"/>
          </w:tcPr>
          <w:p>
            <w:pPr>
              <w:spacing w:after="0" w:line="240" w:lineRule="auto"/>
              <w:jc w:val="center"/>
            </w:pPr>
            <w:r/>
            <w:r>
              <w:rPr>
                <w:sz w:val="15"/>
              </w:rPr>
              <w:t>1.75 (0.44)</w:t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sz w:val="15"/>
              </w:rPr>
              <w:t>&lt;0.001</w:t>
            </w:r>
          </w:p>
        </w:tc>
        <w:tc>
          <w:tcPr>
            <w:tcW w:type="dxa" w:w="1247"/>
          </w:tcPr>
          <w:p>
            <w:pPr>
              <w:spacing w:after="0" w:line="240" w:lineRule="auto"/>
              <w:jc w:val="center"/>
            </w:pPr>
            <w:r/>
            <w:r>
              <w:rPr>
                <w:sz w:val="15"/>
              </w:rPr>
              <w:t>1.75 (0.44)</w:t>
            </w:r>
          </w:p>
        </w:tc>
        <w:tc>
          <w:tcPr>
            <w:tcW w:type="dxa" w:w="1247"/>
          </w:tcPr>
          <w:p>
            <w:pPr>
              <w:spacing w:after="0" w:line="240" w:lineRule="auto"/>
              <w:jc w:val="center"/>
            </w:pPr>
            <w:r/>
            <w:r>
              <w:rPr>
                <w:sz w:val="15"/>
              </w:rPr>
              <w:t>1.73 (0.45)</w:t>
            </w:r>
          </w:p>
        </w:tc>
        <w:tc>
          <w:tcPr>
            <w:tcW w:type="dxa" w:w="1247"/>
          </w:tcPr>
          <w:p>
            <w:pPr>
              <w:spacing w:after="0" w:line="240" w:lineRule="auto"/>
              <w:jc w:val="center"/>
            </w:pPr>
            <w:r/>
            <w:r>
              <w:rPr>
                <w:sz w:val="15"/>
              </w:rPr>
              <w:t>1.75 (0.44)</w:t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sz w:val="15"/>
              </w:rPr>
              <w:t>0.010</w:t>
            </w:r>
          </w:p>
        </w:tc>
      </w:tr>
      <w:tr>
        <w:tc>
          <w:tcPr>
            <w:tcW w:type="dxa" w:w="3515"/>
          </w:tcPr>
          <w:p>
            <w:pPr>
              <w:spacing w:after="0" w:line="240" w:lineRule="auto"/>
            </w:pPr>
            <w:r/>
            <w:r>
              <w:rPr>
                <w:sz w:val="15"/>
              </w:rPr>
              <w:t>Glycoprotein acetyls, mmol/L</w:t>
            </w:r>
          </w:p>
        </w:tc>
        <w:tc>
          <w:tcPr>
            <w:tcW w:type="dxa" w:w="1247"/>
          </w:tcPr>
          <w:p>
            <w:pPr>
              <w:spacing w:after="0" w:line="240" w:lineRule="auto"/>
              <w:jc w:val="center"/>
            </w:pPr>
            <w:r/>
            <w:r>
              <w:rPr>
                <w:sz w:val="15"/>
              </w:rPr>
              <w:t>0.80 (0.73–0.89)</w:t>
            </w:r>
          </w:p>
        </w:tc>
        <w:tc>
          <w:tcPr>
            <w:tcW w:type="dxa" w:w="1247"/>
          </w:tcPr>
          <w:p>
            <w:pPr>
              <w:spacing w:after="0" w:line="240" w:lineRule="auto"/>
              <w:jc w:val="center"/>
            </w:pPr>
            <w:r/>
            <w:r>
              <w:rPr>
                <w:sz w:val="15"/>
              </w:rPr>
              <w:t>0.82 (0.75–0.90)</w:t>
            </w:r>
          </w:p>
        </w:tc>
        <w:tc>
          <w:tcPr>
            <w:tcW w:type="dxa" w:w="1247"/>
          </w:tcPr>
          <w:p>
            <w:pPr>
              <w:spacing w:after="0" w:line="240" w:lineRule="auto"/>
              <w:jc w:val="center"/>
            </w:pPr>
            <w:r/>
            <w:r>
              <w:rPr>
                <w:sz w:val="15"/>
              </w:rPr>
              <w:t>0.80 (0.73–0.88)</w:t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sz w:val="15"/>
              </w:rPr>
              <w:t>&lt;0.001</w:t>
            </w:r>
          </w:p>
        </w:tc>
        <w:tc>
          <w:tcPr>
            <w:tcW w:type="dxa" w:w="1247"/>
          </w:tcPr>
          <w:p>
            <w:pPr>
              <w:spacing w:after="0" w:line="240" w:lineRule="auto"/>
              <w:jc w:val="center"/>
            </w:pPr>
            <w:r/>
            <w:r>
              <w:rPr>
                <w:sz w:val="15"/>
              </w:rPr>
              <w:t>0.80 (0.73–0.89)</w:t>
            </w:r>
          </w:p>
        </w:tc>
        <w:tc>
          <w:tcPr>
            <w:tcW w:type="dxa" w:w="1247"/>
          </w:tcPr>
          <w:p>
            <w:pPr>
              <w:spacing w:after="0" w:line="240" w:lineRule="auto"/>
              <w:jc w:val="center"/>
            </w:pPr>
            <w:r/>
            <w:r>
              <w:rPr>
                <w:sz w:val="15"/>
              </w:rPr>
              <w:t>0.83 (0.75–0.91)</w:t>
            </w:r>
          </w:p>
        </w:tc>
        <w:tc>
          <w:tcPr>
            <w:tcW w:type="dxa" w:w="1247"/>
          </w:tcPr>
          <w:p>
            <w:pPr>
              <w:spacing w:after="0" w:line="240" w:lineRule="auto"/>
              <w:jc w:val="center"/>
            </w:pPr>
            <w:r/>
            <w:r>
              <w:rPr>
                <w:sz w:val="15"/>
              </w:rPr>
              <w:t>0.80 (0.73–0.88)</w:t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sz w:val="15"/>
              </w:rPr>
              <w:t>&lt;0.001</w:t>
            </w:r>
          </w:p>
        </w:tc>
      </w:tr>
      <w:tr>
        <w:tc>
          <w:tcPr>
            <w:tcW w:type="dxa" w:w="3515"/>
            <w:tcBorders>
              <w:bottom w:val="single" w:sz="12" w:space="0" w:color="000000"/>
            </w:tcBorders>
          </w:tcPr>
          <w:p>
            <w:pPr>
              <w:spacing w:after="0" w:line="240" w:lineRule="auto"/>
            </w:pPr>
            <w:r/>
            <w:r>
              <w:rPr>
                <w:sz w:val="15"/>
              </w:rPr>
              <w:t>Follow-up, years</w:t>
            </w:r>
          </w:p>
        </w:tc>
        <w:tc>
          <w:tcPr>
            <w:tcW w:type="dxa" w:w="1247"/>
            <w:tcBorders>
              <w:bottom w:val="single" w:sz="12" w:space="0" w:color="000000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sz w:val="15"/>
              </w:rPr>
              <w:t>13.6 (12.7–14.4)</w:t>
            </w:r>
          </w:p>
        </w:tc>
        <w:tc>
          <w:tcPr>
            <w:tcW w:type="dxa" w:w="1247"/>
            <w:tcBorders>
              <w:bottom w:val="single" w:sz="12" w:space="0" w:color="000000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sz w:val="15"/>
              </w:rPr>
              <w:t>8.1 (4.6–10.9)</w:t>
            </w:r>
          </w:p>
        </w:tc>
        <w:tc>
          <w:tcPr>
            <w:tcW w:type="dxa" w:w="1247"/>
            <w:tcBorders>
              <w:bottom w:val="single" w:sz="12" w:space="0" w:color="000000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sz w:val="15"/>
              </w:rPr>
              <w:t>13.7 (12.9–14.4)</w:t>
            </w:r>
          </w:p>
        </w:tc>
        <w:tc>
          <w:tcPr>
            <w:tcW w:type="dxa" w:w="737"/>
            <w:tcBorders>
              <w:bottom w:val="single" w:sz="12" w:space="0" w:color="000000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sz w:val="15"/>
              </w:rPr>
              <w:t>&lt;0.001</w:t>
            </w:r>
          </w:p>
        </w:tc>
        <w:tc>
          <w:tcPr>
            <w:tcW w:type="dxa" w:w="1247"/>
            <w:tcBorders>
              <w:bottom w:val="single" w:sz="12" w:space="0" w:color="000000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sz w:val="15"/>
              </w:rPr>
              <w:t>13.7 (12.9–14.4)</w:t>
            </w:r>
          </w:p>
        </w:tc>
        <w:tc>
          <w:tcPr>
            <w:tcW w:type="dxa" w:w="1247"/>
            <w:tcBorders>
              <w:bottom w:val="single" w:sz="12" w:space="0" w:color="000000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sz w:val="15"/>
              </w:rPr>
              <w:t>8.3 (5.3–11.1)</w:t>
            </w:r>
          </w:p>
        </w:tc>
        <w:tc>
          <w:tcPr>
            <w:tcW w:type="dxa" w:w="1247"/>
            <w:tcBorders>
              <w:bottom w:val="single" w:sz="12" w:space="0" w:color="000000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sz w:val="15"/>
              </w:rPr>
              <w:t>13.7 (12.9–14.4)</w:t>
            </w:r>
          </w:p>
        </w:tc>
        <w:tc>
          <w:tcPr>
            <w:tcW w:type="dxa" w:w="737"/>
            <w:tcBorders>
              <w:bottom w:val="single" w:sz="12" w:space="0" w:color="000000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sz w:val="15"/>
              </w:rPr>
              <w:t>&lt;0.001</w:t>
            </w:r>
          </w:p>
        </w:tc>
      </w:tr>
    </w:tbl>
    <w:p>
      <w:pPr>
        <w:spacing w:line="276" w:lineRule="auto"/>
      </w:pPr>
      <w:r>
        <w:rPr>
          <w:sz w:val="16"/>
        </w:rPr>
        <w:t>Values are mean (standard deviation), median (interquartile range) or n (%); percentages exclude missing values. Participants with the outcome before baseline were excluded from the corresponding cohort. P values compare participants with and without incident polyp (Welch t test, Mann–Whitney test or chi-squared test). Prior hospital diagnoses are those recorded before baseline. Metabolite concentrations are NMR measurements.</w:t>
      </w:r>
    </w:p>
    <w:sectPr w:rsidR="00FC693F" w:rsidRPr="0006063C" w:rsidSect="00034616">
      <w:pgSz w:w="15840" w:h="12240" w:orient="landscape"/>
      <w:pgMar w:top="1417" w:right="1020" w:bottom="141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120"/>
    </w:pPr>
    <w:rPr>
      <w:rFonts w:ascii="Times New Roman" w:hAnsi="Times New Roman" w:eastAsia="Times New Roman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