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</w:pPr>
      <w:r>
        <w:rPr>
          <w:b/>
          <w:sz w:val="20"/>
        </w:rPr>
        <w:t>Table 2.</w:t>
      </w:r>
      <w:r>
        <w:rPr>
          <w:sz w:val="20"/>
        </w:rPr>
        <w:t xml:space="preserve"> Associations of key metabolites with incident colon polyp and stomach/duodenal polyp across adjustment models (hazard ratio per 1 SD, 95% CI)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3969"/>
            <w:tcBorders>
              <w:top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Metabolite</w:t>
            </w:r>
          </w:p>
        </w:tc>
        <w:tc>
          <w:tcPr>
            <w:tcW w:type="dxa" w:w="5103"/>
            <w:gridSpan w:val="3"/>
            <w:tcBorders>
              <w:top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Colon polyp (K63.5)</w:t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5103"/>
            <w:gridSpan w:val="3"/>
            <w:tcBorders>
              <w:top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Stomach/duodenal polyp (K31.7)</w:t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969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Model 1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Model 3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Model 4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Model 1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Model 3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Model 4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6"/>
              </w:rPr>
              <w:t>Lipids and lipoproteins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Total triglycerides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1.05 (1.03–1.07)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1.05 (1.03–1.07)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1.04 (1.02–1.06)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1.10 (1.07–1.13)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1.09 (1.06–1.12)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1.06 (1.03–1.09)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HDL cholesterol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0.98 (0.96–1.00)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1.00 (0.98–1.02)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1.02 (1.00–1.04)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0.84 (0.82–0.87)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0.88 (0.86–0.91)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0.90 (0.87–0.93)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Apolipoprotein A1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1.01 (0.99–1.03)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1.02 (1.00–1.04)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1.03 (1.01–1.05)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0.88 (0.86–0.91)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0.91 (0.89–0.94)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0.92 (0.90–0.95)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LDL cholesterol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0.97 (0.95–0.98)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1.00 (0.98–1.02)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1.00 (0.98–1.02)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0.95 (0.93–0.98)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1.00 (0.97–1.03)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0.99 (0.97–1.02)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Apolipoprotein B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0.97 (0.95–0.98)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1.00 (0.98–1.01)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0.99 (0.98–1.01)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0.98 (0.95–1.00)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1.02 (1.00–1.05)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1.01 (0.99–1.04)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Total cholesterol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0.96 (0.95–0.98)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1.00 (0.98–1.02)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1.00 (0.98–1.02)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0.92 (0.90–0.94)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0.97 (0.94–1.00)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0.97 (0.94–0.99)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Triglycerides in very small VLDL, % of lipids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1.10 (1.08–1.12)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1.07 (1.05–1.09)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1.05 (1.03–1.07)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1.14 (1.11–1.17)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1.07 (1.05–1.10)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1.05 (1.02–1.08)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6"/>
              </w:rPr>
              <w:t>Inflammation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Glycoprotein acetyls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1.08 (1.06–1.10)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1.07 (1.05–1.09)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1.05 (1.03–1.07)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1.18 (1.15–1.21)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1.14 (1.11–1.17)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1.10 (1.07–1.14)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Albumin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0.97 (0.95–0.98)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0.98 (0.96–0.99)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0.98 (0.97–1.00)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0.94 (0.91–0.96)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0.95 (0.93–0.98)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0.96 (0.94–0.99)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b/>
                <w:sz w:val="16"/>
              </w:rPr>
              <w:t>Fatty acids, % of total fatty acids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Linoleic acid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0.89 (0.88–0.91)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0.92 (0.90–0.94)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0.93 (0.91–0.95)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0.89 (0.87–0.92)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0.94 (0.91–0.96)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0.96 (0.93–0.98)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Omega-6 fatty acids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0.91 (0.89–0.93)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0.92 (0.91–0.94)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0.94 (0.92–0.96)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0.90 (0.87–0.92)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0.93 (0.90–0.95)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0.95 (0.92–0.98)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Monounsaturated fatty acids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1.09 (1.07–1.11)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1.07 (1.05–1.09)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1.05 (1.03–1.07)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1.16 (1.13–1.19)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1.11 (1.08–1.14)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1.08 (1.05–1.11)</w:t>
            </w:r>
          </w:p>
        </w:tc>
      </w:tr>
      <w:tr>
        <w:tc>
          <w:tcPr>
            <w:tcW w:type="dxa" w:w="3969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ind w:left="227"/>
            </w:pPr>
            <w:r/>
            <w:r>
              <w:rPr>
                <w:sz w:val="16"/>
              </w:rPr>
              <w:t>Saturated fatty acids</w:t>
            </w:r>
          </w:p>
        </w:tc>
        <w:tc>
          <w:tcPr>
            <w:tcW w:type="dxa" w:w="1701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1.06 (1.04–1.08)</w:t>
            </w:r>
          </w:p>
        </w:tc>
        <w:tc>
          <w:tcPr>
            <w:tcW w:type="dxa" w:w="1701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1.06 (1.04–1.08)</w:t>
            </w:r>
          </w:p>
        </w:tc>
        <w:tc>
          <w:tcPr>
            <w:tcW w:type="dxa" w:w="1701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6"/>
              </w:rPr>
              <w:t>1.05 (1.03–1.07)</w:t>
            </w:r>
          </w:p>
        </w:tc>
        <w:tc>
          <w:tcPr>
            <w:tcW w:type="dxa" w:w="1701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1.03 (1.00–1.05)</w:t>
            </w:r>
          </w:p>
        </w:tc>
        <w:tc>
          <w:tcPr>
            <w:tcW w:type="dxa" w:w="1701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1.01 (0.99–1.04)</w:t>
            </w:r>
          </w:p>
        </w:tc>
        <w:tc>
          <w:tcPr>
            <w:tcW w:type="dxa" w:w="1701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6"/>
              </w:rPr>
              <w:t>1.00 (0.98–1.03)</w:t>
            </w:r>
          </w:p>
        </w:tc>
      </w:tr>
    </w:tbl>
    <w:p>
      <w:pPr>
        <w:spacing w:line="276" w:lineRule="auto"/>
      </w:pPr>
      <w:r>
        <w:rPr>
          <w:sz w:val="16"/>
        </w:rPr>
        <w:t>Same complete-case sample for all models (colon polyp: 240,720 participants, 13,822 events; stomach/duodenal polyp: 241,891, 6,370). Model 1: age, sex, Townsend deprivation index, body mass index, systolic and diastolic blood pressure, smoking and alcohol drinking. Model 3: Model 1 plus prior hospital diagnoses (log number of ICD-10 codes; disorders of lipoprotein metabolism, ischaemic heart disease, hypertension, diabetes, reflux disease, gastritis or ulcer). Model 4: Model 3 plus waist circumference, body fat percentage, HbA1c and C-reactive protein. Metabolites were rank-normalised and standardised. Bold: P &lt; 0.05 after Bonferroni correction across 251 metabolites. Results for all 251 metabolites are in Table S1 and Fig. 3.</w:t>
      </w:r>
    </w:p>
    <w:sectPr w:rsidR="00FC693F" w:rsidRPr="0006063C" w:rsidSect="00034616">
      <w:pgSz w:w="15840" w:h="12240" w:orient="landscape"/>
      <w:pgMar w:top="1417" w:right="1020" w:bottom="141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