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Supplementary Information</w:t>
      </w:r>
    </w:p>
    <w:p>
      <w:pPr>
        <w:jc w:val="center"/>
      </w:pPr>
      <w:r>
        <w:rPr>
          <w:i/>
        </w:rPr>
        <w:t>Plasma NMR metabolomic profiles and incident colon and stomach/duodenal polyps: a prospective analysis of 274,260 UK Biobank participants</w:t>
      </w:r>
    </w:p>
    <w:p>
      <w:pPr>
        <w:pStyle w:val="Heading1"/>
      </w:pPr>
      <w:r>
        <w:t>Supplementary tables</w:t>
      </w:r>
    </w:p>
    <w:p>
      <w:r>
        <w:t xml:space="preserve">Supplementary tables are provided in the Excel workbook </w:t>
      </w:r>
      <w:r>
        <w:rPr>
          <w:b/>
        </w:rPr>
        <w:t>Supplementary_Tables.xlsx</w:t>
      </w:r>
      <w:r>
        <w:t xml:space="preserve"> (one sheet per table, with an index sheet).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Sheet</w:t>
            </w:r>
          </w:p>
        </w:tc>
        <w:tc>
          <w:tcPr>
            <w:tcW w:type="dxa" w:w="623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spacing w:after="0" w:line="240" w:lineRule="auto"/>
              <w:jc w:val="center"/>
            </w:pPr>
            <w:r>
              <w:rPr>
                <w:b/>
              </w:rPr>
            </w:r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TableS1_metabolite_results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One row per outcome and metabolite: primary Cox (Model 1; HR per 1 SD), sensitivity excluding events &lt;2 y, prevalent-disease odds ratio, sex and age-60 subgroups, split-sample (ln HR, 70% discovery / 30% validation), bootstrap (30 resamples; ln HR interval), extended adjustment in the same complete-case sample (M1; M2a +waist, body fat %; M2b +HbA1c, log CRP; M2c +waist, body fat %, HbA1c, log CRP; M3 +prior-diagnosis proxies; M4 all), original 3-character code definition, metabolite-score weight, and dual-site vs single-site OR (identical in both outcome blocks). p_bonf = Bonferroni-adjusted P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TableS2_metabolite_annotation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Metabolite abbreviations (as supplied) with rule-based class and lipoprotein family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TableS3_prediction_performance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Prediction performance: binary (5-fold cross-validation AUC) and survival (test-set C-index, 5- and 10-year AUC) for three feature sets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TableS4_specificity_correlations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Correlation of each outcome's 251 ln(HR) values with the colon and stomach/duodenal polyp profiles (events and number of Bonferroni-significant metabolites)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TableS5_specificity_effects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Model 1 Cox of all 251 metabolites for 23 other digestive outcomes (3-character ICD-10 codes) and colorectal cancer (CRC = C18-C20)</w:t>
            </w:r>
          </w:p>
        </w:tc>
      </w:tr>
      <w:tr>
        <w:tc>
          <w:tcPr>
            <w:tcW w:type="dxa" w:w="2835"/>
            <w:tcBorders>
              <w:bottom w:val="single" w:sz="12" w:space="0" w:color="000000"/>
            </w:tcBorders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TableS6_lipid_audit</w:t>
            </w:r>
          </w:p>
        </w:tc>
        <w:tc>
          <w:tcPr>
            <w:tcW w:type="dxa" w:w="6236"/>
            <w:tcBorders>
              <w:bottom w:val="single" w:sz="12" w:space="0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sz w:val="18"/>
              </w:rPr>
              <w:t>Audit of the lipoprotein results: NMR vs clinical chemistry (alignment and independent hazard ratios), stepwise adjustment for prior-diagnosis proxies, mutual adjustment, crude incidence by HDL tertile</w:t>
            </w:r>
          </w:p>
        </w:tc>
      </w:tr>
    </w:tbl>
    <w:p>
      <w:r>
        <w:br w:type="page"/>
      </w:r>
    </w:p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A_colon_polyp_sensitivity_circu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B_stomach_duodenal_polyp_sensitivity_circul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S1. Sensitivity analysis excluding events in the first 2 years.</w:t>
      </w:r>
      <w:r>
        <w:rPr>
          <w:sz w:val="20"/>
        </w:rPr>
        <w:t xml:space="preserve"> Circular bar plots of hazard ratios for all 251 metabolites for (A) colon polyp and (B) stomach/duodenal polyp; conventions as in Figure 3.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A_correlation_structure_circul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28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B_effective_tests_sc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2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S2. Correlation structure of the metabolites.</w:t>
      </w:r>
      <w:r>
        <w:rPr>
          <w:sz w:val="20"/>
        </w:rPr>
        <w:t xml:space="preserve"> (A) Circular heat rings of the correlation of each metabolite with principal components 1–8 (percentage of variance in the ring labels). (B) Cumulative variance explained by the principal components; 19 components explain 95%.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870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original_vs_polyp_defin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S3. Original three-character codes versus polyp-specific codes.</w:t>
      </w:r>
      <w:r>
        <w:rPr>
          <w:sz w:val="20"/>
        </w:rPr>
        <w:t xml:space="preserve"> Natural-log hazard ratios per SD for K63 against K63.5 (left) and K31 against K31.7 (right).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0185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4_internal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18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S4. Internal validation.</w:t>
      </w:r>
      <w:r>
        <w:rPr>
          <w:sz w:val="20"/>
        </w:rPr>
        <w:t xml:space="preserve"> Top, natural-log hazard ratios in the discovery (70%) and validation (30%) halves; orange points are significant in the discovery half after Bonferroni correction. Bottom, bootstrap analysis (30 resamples): metabolites ranked by the natural-log hazard ratio of the main analysis (points; orange, higher risk; blue, lower risk; grey, not significant) with the 95% bootstrap interval (band).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72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5_prevalent_vs_incid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2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S5. Prevalent and incident disease.</w:t>
      </w:r>
      <w:r>
        <w:rPr>
          <w:sz w:val="20"/>
        </w:rPr>
        <w:t xml:space="preserve"> Natural-log odds ratio of prevalent disease at baseline against the natural-log hazard ratio of incident disease for colon polyp (left) and stomach/duodenal polyp (right).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835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6_prediction_performance_ba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S6. Prediction performance of all models.</w:t>
      </w:r>
      <w:r>
        <w:rPr>
          <w:sz w:val="20"/>
        </w:rPr>
        <w:t xml:space="preserve"> Area under the curve (binary models, 5-fold cross-validation) and C-index (survival models, test set) by model and feature set.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527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7_dual_site_tim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S7. Participants with both polyp types.</w:t>
      </w:r>
      <w:r>
        <w:rPr>
          <w:sz w:val="20"/>
        </w:rPr>
        <w:t xml:space="preserve"> Left, numbers in the polyp groups; right, order of diagnosis in participants with both polyps.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122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_dose_response_K6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1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122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8_dose_response_K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12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S8. Dose–response curves.</w:t>
      </w:r>
      <w:r>
        <w:rPr>
          <w:sz w:val="20"/>
        </w:rPr>
        <w:t xml:space="preserve"> Restricted cubic splines (four knots) of selected metabolites for colon polyp and stomach/duodenal polyp; hazard ratio relative to the median (line) with 95% confidence interval (band); the P value for non-linearity is given in each panel title.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711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9_lipid_au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7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Figure S9. Audit of the lipoprotein results.</w:t>
      </w:r>
      <w:r>
        <w:rPr>
          <w:sz w:val="20"/>
        </w:rPr>
        <w:t xml:space="preserve"> Top left and middle, hazard ratios per SD for NMR measures and clinical-chemistry assays of the same blood sample; top right, crude incidence of stomach/duodenal polyp by sex-specific tertile of HDL cholesterol; bottom, hazard ratios of HDL cholesterol, LDL cholesterol and apolipoprotein B, and total triglycerides and glycoprotein acetyls, with stepwise adjustment for prior-diagnosis proxies.</w:t>
      </w:r>
    </w:p>
    <w:p>
      <w:r>
        <w:br w:type="page"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