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04626B">
      <w:pPr>
        <w:jc w:val="center"/>
        <w:rPr>
          <w:rFonts w:hint="default" w:eastAsiaTheme="minorEastAsia"/>
          <w:b/>
          <w:bCs/>
          <w:sz w:val="48"/>
          <w:szCs w:val="48"/>
          <w:lang w:val="en-US" w:eastAsia="zh-CN"/>
        </w:rPr>
      </w:pPr>
      <w:r>
        <w:rPr>
          <w:rFonts w:hint="default" w:eastAsiaTheme="minorEastAsia"/>
          <w:b/>
          <w:bCs/>
          <w:sz w:val="48"/>
          <w:szCs w:val="48"/>
          <w:lang w:val="en-US" w:eastAsia="zh-CN"/>
        </w:rPr>
        <w:t>设备ID统一编码规则</w:t>
      </w:r>
    </w:p>
    <w:p w14:paraId="04A7FB5E">
      <w:pPr>
        <w:jc w:val="center"/>
        <w:rPr>
          <w:rFonts w:hint="default" w:eastAsiaTheme="minorEastAsia"/>
          <w:b/>
          <w:bCs/>
          <w:sz w:val="48"/>
          <w:szCs w:val="48"/>
          <w:lang w:val="en-US" w:eastAsia="zh-CN"/>
        </w:rPr>
      </w:pPr>
    </w:p>
    <w:p w14:paraId="3D4EFC7F">
      <w:pPr>
        <w:jc w:val="center"/>
        <w:rPr>
          <w:rFonts w:hint="default" w:eastAsiaTheme="minorEastAsia"/>
          <w:b/>
          <w:bCs/>
          <w:sz w:val="48"/>
          <w:szCs w:val="48"/>
          <w:lang w:val="en-US" w:eastAsia="zh-CN"/>
        </w:rPr>
      </w:pPr>
    </w:p>
    <w:p w14:paraId="192578BF">
      <w:pPr>
        <w:pStyle w:val="2"/>
        <w:bidi w:val="0"/>
        <w:rPr>
          <w:rFonts w:hint="eastAsia"/>
          <w:lang w:val="en-US" w:eastAsia="zh-CN"/>
        </w:rPr>
      </w:pPr>
      <w:r>
        <w:rPr>
          <w:rFonts w:hint="eastAsia"/>
          <w:lang w:val="en-US" w:eastAsia="zh-CN"/>
        </w:rPr>
        <w:t>一、说明</w:t>
      </w:r>
    </w:p>
    <w:p w14:paraId="3E635A9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联网系统应对前端设备、监控中心设备、用户终端ID进行统一编码,该编码具有全局唯一性。编码应采用符合附录E中的E.1 规定的编码规则(20 位十进制数字字符编码)。联网系统管理平台之间的通信、管理平台与其他系统之间的通信应采用本章规定的统一编码标识联网系统的设备和用户</w:t>
      </w:r>
    </w:p>
    <w:p w14:paraId="3916A8C7">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p>
    <w:p w14:paraId="10660383">
      <w:pPr>
        <w:pStyle w:val="2"/>
        <w:bidi w:val="0"/>
        <w:rPr>
          <w:rFonts w:hint="default"/>
          <w:lang w:val="en-US" w:eastAsia="zh-CN"/>
        </w:rPr>
      </w:pPr>
      <w:r>
        <w:rPr>
          <w:rFonts w:hint="eastAsia"/>
          <w:lang w:val="en-US" w:eastAsia="zh-CN"/>
        </w:rPr>
        <w:t>二、编码规则</w:t>
      </w:r>
      <w:bookmarkStart w:id="0" w:name="_GoBack"/>
      <w:bookmarkEnd w:id="0"/>
    </w:p>
    <w:p w14:paraId="5BA2C99B">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编码由中心编码(8 位)、行业编码(2 位)、类型编码(3 位)、网络标识(1 位)和序号(6 位)5 个码段共20 位十进制数字字符构成,即系统编码 =中心编码 + 行业编码 + 类型编码 + 网络标识 + 序号。</w:t>
      </w:r>
    </w:p>
    <w:p w14:paraId="190484DE">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编码规则的详细说明见表E.1。其中,中心编码指用户或设备所归属的监控中心的编码,按照监控中心所在地的行政区划代码确定,当不是基层单位时空余位为0。行政区划代码符合中华人民共和国民政部发布的最新行政区划代码。行业编码是指用户或设备所归属的行业,行业编码对照表见表E.2.类型编码指定了设备或用户的具体类型。</w:t>
      </w:r>
    </w:p>
    <w:p w14:paraId="08750A3C">
      <w:pPr>
        <w:rPr>
          <w:rFonts w:hint="eastAsia"/>
        </w:rPr>
      </w:pPr>
    </w:p>
    <w:p w14:paraId="62390E75">
      <w:r>
        <w:drawing>
          <wp:inline distT="0" distB="0" distL="114300" distR="114300">
            <wp:extent cx="5269865" cy="4771390"/>
            <wp:effectExtent l="0" t="0" r="133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69865" cy="4771390"/>
                    </a:xfrm>
                    <a:prstGeom prst="rect">
                      <a:avLst/>
                    </a:prstGeom>
                    <a:noFill/>
                    <a:ln>
                      <a:noFill/>
                    </a:ln>
                  </pic:spPr>
                </pic:pic>
              </a:graphicData>
            </a:graphic>
          </wp:inline>
        </w:drawing>
      </w:r>
    </w:p>
    <w:p w14:paraId="7110DB08">
      <w:r>
        <w:drawing>
          <wp:inline distT="0" distB="0" distL="114300" distR="114300">
            <wp:extent cx="5269865" cy="5166360"/>
            <wp:effectExtent l="0" t="0" r="1333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9865" cy="5166360"/>
                    </a:xfrm>
                    <a:prstGeom prst="rect">
                      <a:avLst/>
                    </a:prstGeom>
                    <a:noFill/>
                    <a:ln>
                      <a:noFill/>
                    </a:ln>
                  </pic:spPr>
                </pic:pic>
              </a:graphicData>
            </a:graphic>
          </wp:inline>
        </w:drawing>
      </w:r>
    </w:p>
    <w:p w14:paraId="47EDA764"/>
    <w:p w14:paraId="0C66C7A1">
      <w:r>
        <w:drawing>
          <wp:inline distT="0" distB="0" distL="114300" distR="114300">
            <wp:extent cx="5274310" cy="1783080"/>
            <wp:effectExtent l="0" t="0" r="8890"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4310" cy="1783080"/>
                    </a:xfrm>
                    <a:prstGeom prst="rect">
                      <a:avLst/>
                    </a:prstGeom>
                    <a:noFill/>
                    <a:ln>
                      <a:noFill/>
                    </a:ln>
                  </pic:spPr>
                </pic:pic>
              </a:graphicData>
            </a:graphic>
          </wp:inline>
        </w:drawing>
      </w:r>
    </w:p>
    <w:p w14:paraId="58D5357A">
      <w:r>
        <w:drawing>
          <wp:inline distT="0" distB="0" distL="114300" distR="114300">
            <wp:extent cx="5267325" cy="7113905"/>
            <wp:effectExtent l="0" t="0" r="15875"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325" cy="7113905"/>
                    </a:xfrm>
                    <a:prstGeom prst="rect">
                      <a:avLst/>
                    </a:prstGeom>
                    <a:noFill/>
                    <a:ln>
                      <a:noFill/>
                    </a:ln>
                  </pic:spPr>
                </pic:pic>
              </a:graphicData>
            </a:graphic>
          </wp:inline>
        </w:drawing>
      </w:r>
    </w:p>
    <w:p w14:paraId="39FA415E"/>
    <w:p w14:paraId="217512A2">
      <w:r>
        <w:drawing>
          <wp:inline distT="0" distB="0" distL="114300" distR="114300">
            <wp:extent cx="5269865" cy="758190"/>
            <wp:effectExtent l="0" t="0" r="133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9865" cy="758190"/>
                    </a:xfrm>
                    <a:prstGeom prst="rect">
                      <a:avLst/>
                    </a:prstGeom>
                    <a:noFill/>
                    <a:ln>
                      <a:noFill/>
                    </a:ln>
                  </pic:spPr>
                </pic:pic>
              </a:graphicData>
            </a:graphic>
          </wp:inline>
        </w:drawing>
      </w:r>
    </w:p>
    <w:p w14:paraId="7BDD4269">
      <w:r>
        <w:drawing>
          <wp:inline distT="0" distB="0" distL="114300" distR="114300">
            <wp:extent cx="5271770" cy="7019925"/>
            <wp:effectExtent l="0" t="0" r="1143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1770" cy="70199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BD81B80"/>
    <w:rsid w:val="6EDE4BB4"/>
    <w:rsid w:val="CB319531"/>
    <w:rsid w:val="DBD81B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528</TotalTime>
  <ScaleCrop>false</ScaleCrop>
  <LinksUpToDate>false</LinksUpToDate>
  <CharactersWithSpaces>0</CharactersWithSpaces>
  <Application>WPS Office_7.5.1.8994_F1E327BC-269C-435d-A152-05C5408002CA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2025-07-08T14:36:00Z</dcterms:created>
  <dc:creator>胡玉龙</dc:creator>
  <cp:lastModifiedBy>胡玉龙</cp:lastModifiedBy>
  <dcterms:modified xsi:type="dcterms:W3CDTF">2025-07-09T15:12:59Z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2052-7.5.1.8994</vt:lpwstr>
  </property>
  <property fmtid="{D5CDD505-2E9C-101B-9397-08002B2CF9AE}" pid="3" name="ICV">
    <vt:lpwstr>7F7C58F9BCF5A8C15FBC6C686931A56C_41</vt:lpwstr>
  </property>
</Properties>
</file>