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hyt5lpk8n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Association Rule Learning (Apriori, FP-Growth)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Find interesting relationships (associations) between variables in large datasets.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901xo43j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EDA Steps for Association Rule Learning: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694bvjfoq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Data Preparation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Encoding</w:t>
      </w:r>
      <w:r w:rsidDel="00000000" w:rsidR="00000000" w:rsidRPr="00000000">
        <w:rPr>
          <w:rtl w:val="0"/>
        </w:rPr>
        <w:t xml:space="preserve">: Convert the dataset into a format suitable for association rule mining. Typically, this means transforming the data into a one-hot encoded format where each transaction has a binary value for each item.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dei8ed5sym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Visualize Frequent Items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Frequency</w:t>
      </w:r>
      <w:r w:rsidDel="00000000" w:rsidR="00000000" w:rsidRPr="00000000">
        <w:rPr>
          <w:rtl w:val="0"/>
        </w:rPr>
        <w:t xml:space="preserve">: Plot the frequency of each item to identify which items appear most frequently.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 Frequency</w:t>
      </w:r>
      <w:r w:rsidDel="00000000" w:rsidR="00000000" w:rsidRPr="00000000">
        <w:rPr>
          <w:rtl w:val="0"/>
        </w:rPr>
        <w:t xml:space="preserve">: Visualize item pairs that frequently occur together.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37j9zhwvj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Rule Generation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Association Rule Algorithms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Apriori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FP-Growth</w:t>
      </w:r>
      <w:r w:rsidDel="00000000" w:rsidR="00000000" w:rsidRPr="00000000">
        <w:rPr>
          <w:rtl w:val="0"/>
        </w:rPr>
        <w:t xml:space="preserve"> to generate frequent itemsets and association rules.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Support, Confidence, Lift</w:t>
      </w:r>
      <w:r w:rsidDel="00000000" w:rsidR="00000000" w:rsidRPr="00000000">
        <w:rPr>
          <w:rtl w:val="0"/>
        </w:rPr>
        <w:t xml:space="preserve">: Examine the generated rules based on their support, confidence, and lift metrics.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5pxpsd3ci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Rule Filtering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Strong Rules</w:t>
      </w:r>
      <w:r w:rsidDel="00000000" w:rsidR="00000000" w:rsidRPr="00000000">
        <w:rPr>
          <w:rtl w:val="0"/>
        </w:rPr>
        <w:t xml:space="preserve">: Focus on rules with high support, confidence, and lift that are most likely to provide actionable insights.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 Rules</w:t>
      </w:r>
      <w:r w:rsidDel="00000000" w:rsidR="00000000" w:rsidRPr="00000000">
        <w:rPr>
          <w:rtl w:val="0"/>
        </w:rPr>
        <w:t xml:space="preserve">: Use network graphs or matrix plots to visualize the association rules.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