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72"/>
      </w:tblGrid>
      <w:tr>
        <w:tc>
          <w:tcPr>
            <w:tcW w:type="dxa" w:w="9071"/>
            <w:shd w:val="clear" w:color="auto" w:fill="009440"/>
          </w:tcPr>
          <w:p>
            <w:pPr>
              <w:spacing w:before="160" w:after="160"/>
              <w:jc w:val="center"/>
            </w:pPr>
            <w:r>
              <w:rPr>
                <w:b/>
                <w:color w:val="FFFFFF"/>
                <w:sz w:val="22"/>
              </w:rPr>
              <w:t>RÉPUBLIQUE GABONAISE</w:t>
            </w:r>
          </w:p>
        </w:tc>
      </w:tr>
    </w:tbl>
    <w:p/>
    <w:p>
      <w:pPr>
        <w:spacing w:before="120" w:after="80"/>
        <w:jc w:val="center"/>
      </w:pPr>
      <w:r>
        <w:rPr>
          <w:b/>
          <w:color w:val="003F8F"/>
          <w:sz w:val="24"/>
        </w:rPr>
        <w:t>MINISTÈRE DE L'INDUSTRIE ET DE LA TRANSFORMATION LOCALE</w:t>
      </w:r>
    </w:p>
    <w:p>
      <w:pPr>
        <w:spacing w:before="80" w:after="80"/>
        <w:pBdr>
          <w:bottom w:val="single" w:sz="12" w:space="1" w:color="FFCD00"/>
        </w:pBdr>
      </w:pPr>
    </w:p>
    <w:p>
      <w:pPr>
        <w:spacing w:before="400" w:after="120"/>
        <w:jc w:val="center"/>
      </w:pPr>
      <w:r>
        <w:rPr>
          <w:b/>
          <w:color w:val="1A1A2E"/>
          <w:sz w:val="44"/>
        </w:rPr>
        <w:t>NOTE CONCEPTUELLE OFFICIELLE</w:t>
      </w:r>
    </w:p>
    <w:p>
      <w:pPr>
        <w:spacing w:after="80"/>
        <w:jc w:val="center"/>
      </w:pPr>
      <w:r>
        <w:rPr>
          <w:b/>
          <w:color w:val="009440"/>
          <w:sz w:val="34"/>
        </w:rPr>
        <w:t>Plateforme Nationale de Pilotage Industriel</w:t>
      </w:r>
    </w:p>
    <w:p>
      <w:pPr>
        <w:spacing w:after="400"/>
        <w:jc w:val="center"/>
      </w:pPr>
      <w:r>
        <w:rPr>
          <w:b w:val="0"/>
          <w:color w:val="003F8F"/>
          <w:sz w:val="28"/>
        </w:rPr>
        <w:t>PNPI — Volet Industrie</w:t>
      </w:r>
    </w:p>
    <w:p>
      <w:pPr>
        <w:spacing w:before="80" w:after="80"/>
        <w:pBdr>
          <w:bottom w:val="single" w:sz="6" w:space="1" w:color="009440"/>
        </w:pBdr>
      </w:pPr>
    </w:p>
    <w:tbl>
      <w:tblPr>
        <w:tblW w:type="auto" w:w="0"/>
        <w:jc w:val="center"/>
        <w:tblLook w:firstColumn="1" w:firstRow="1" w:lastColumn="0" w:lastRow="0" w:noHBand="0" w:noVBand="1" w:val="04A0"/>
      </w:tblPr>
      <w:tblGrid>
        <w:gridCol w:w="4536"/>
        <w:gridCol w:w="4536"/>
      </w:tblGrid>
      <w:tr>
        <w:tc>
          <w:tcPr>
            <w:tcW w:type="dxa" w:w="2835"/>
            <w:shd w:val="clear" w:color="auto" w:fill="F4F4F4"/>
          </w:tcPr>
          <w:p>
            <w:r>
              <w:rPr>
                <w:b/>
                <w:color w:val="003F8F"/>
                <w:sz w:val="19"/>
              </w:rPr>
              <w:t>Version</w:t>
            </w:r>
          </w:p>
        </w:tc>
        <w:tc>
          <w:tcPr>
            <w:tcW w:type="dxa" w:w="6236"/>
            <w:shd w:val="clear" w:color="auto" w:fill="FFFFFF"/>
          </w:tcPr>
          <w:p>
            <w:r>
              <w:rPr>
                <w:sz w:val="19"/>
              </w:rPr>
              <w:t>2.0 — Édition Stratégique</w:t>
            </w:r>
          </w:p>
        </w:tc>
      </w:tr>
      <w:tr>
        <w:tc>
          <w:tcPr>
            <w:tcW w:type="dxa" w:w="2835"/>
            <w:shd w:val="clear" w:color="auto" w:fill="F4F4F4"/>
          </w:tcPr>
          <w:p>
            <w:r>
              <w:rPr>
                <w:b/>
                <w:color w:val="003F8F"/>
                <w:sz w:val="19"/>
              </w:rPr>
              <w:t>Date</w:t>
            </w:r>
          </w:p>
        </w:tc>
        <w:tc>
          <w:tcPr>
            <w:tcW w:type="dxa" w:w="6236"/>
            <w:shd w:val="clear" w:color="auto" w:fill="FFFFFF"/>
          </w:tcPr>
          <w:p>
            <w:r>
              <w:rPr>
                <w:sz w:val="19"/>
              </w:rPr>
              <w:t>26 février 2026</w:t>
            </w:r>
          </w:p>
        </w:tc>
      </w:tr>
      <w:tr>
        <w:tc>
          <w:tcPr>
            <w:tcW w:type="dxa" w:w="2835"/>
            <w:shd w:val="clear" w:color="auto" w:fill="F4F4F4"/>
          </w:tcPr>
          <w:p>
            <w:r>
              <w:rPr>
                <w:b/>
                <w:color w:val="003F8F"/>
                <w:sz w:val="19"/>
              </w:rPr>
              <w:t>Classification</w:t>
            </w:r>
          </w:p>
        </w:tc>
        <w:tc>
          <w:tcPr>
            <w:tcW w:type="dxa" w:w="6236"/>
            <w:shd w:val="clear" w:color="auto" w:fill="FFFFFF"/>
          </w:tcPr>
          <w:p>
            <w:r>
              <w:rPr>
                <w:sz w:val="19"/>
              </w:rPr>
              <w:t>Document institutionnel — Diffusion restreinte</w:t>
            </w:r>
          </w:p>
        </w:tc>
      </w:tr>
      <w:tr>
        <w:tc>
          <w:tcPr>
            <w:tcW w:type="dxa" w:w="2835"/>
            <w:shd w:val="clear" w:color="auto" w:fill="F4F4F4"/>
          </w:tcPr>
          <w:p>
            <w:r>
              <w:rPr>
                <w:b/>
                <w:color w:val="003F8F"/>
                <w:sz w:val="19"/>
              </w:rPr>
              <w:t>Statut</w:t>
            </w:r>
          </w:p>
        </w:tc>
        <w:tc>
          <w:tcPr>
            <w:tcW w:type="dxa" w:w="6236"/>
            <w:shd w:val="clear" w:color="auto" w:fill="FFFFFF"/>
          </w:tcPr>
          <w:p>
            <w:r>
              <w:rPr>
                <w:sz w:val="19"/>
              </w:rPr>
              <w:t>Soumis à validation du COPIL</w:t>
            </w:r>
          </w:p>
        </w:tc>
      </w:tr>
    </w:tbl>
    <w:p/>
    <w:tbl>
      <w:tblPr>
        <w:tblStyle w:val="TableGrid"/>
        <w:tblW w:type="auto" w:w="0"/>
        <w:tblLook w:firstColumn="1" w:firstRow="1" w:lastColumn="0" w:lastRow="0" w:noHBand="0" w:noVBand="1" w:val="04A0"/>
      </w:tblPr>
      <w:tblGrid>
        <w:gridCol w:w="9072"/>
      </w:tblGrid>
      <w:tr>
        <w:tc>
          <w:tcPr>
            <w:tcW w:type="dxa" w:w="9071"/>
            <w:shd w:val="clear" w:color="auto" w:fill="E8F4EC"/>
          </w:tcPr>
          <w:p>
            <w:pPr>
              <w:spacing w:before="80" w:after="80"/>
              <w:ind w:left="170"/>
            </w:pPr>
            <w:r>
              <w:rPr>
                <w:b w:val="0"/>
                <w:color w:val="1A1A2E"/>
                <w:sz w:val="20"/>
              </w:rPr>
              <w:t>« Le PNPI n'est pas un projet informatique. C'est un instrument de politique industrielle et de souveraineté économique gabonaise. »</w:t>
            </w:r>
          </w:p>
        </w:tc>
      </w:tr>
    </w:tbl>
    <w:p/>
    <w:p>
      <w:r>
        <w:br w:type="page"/>
      </w:r>
    </w:p>
    <w:p>
      <w:pPr>
        <w:keepNext/>
        <w:spacing w:before="360" w:after="120"/>
      </w:pPr>
      <w:r>
        <w:rPr>
          <w:b/>
          <w:color w:val="009440"/>
          <w:sz w:val="26"/>
        </w:rPr>
        <w:t>RÉSUMÉ EXÉCUTIF</w:t>
      </w:r>
    </w:p>
    <w:p>
      <w:pPr>
        <w:spacing w:before="80" w:after="80"/>
        <w:pBdr>
          <w:bottom w:val="single" w:sz="8" w:space="1" w:color="009440"/>
        </w:pBdr>
      </w:pPr>
    </w:p>
    <w:p>
      <w:pPr>
        <w:spacing w:before="80" w:after="120"/>
        <w:jc w:val="left"/>
      </w:pPr>
      <w:r>
        <w:rPr>
          <w:b w:val="0"/>
        </w:rPr>
        <w:t>Le Gabon dispose d'une base industrielle parmi les plus structurées d'Afrique centrale, mais son administration industrielle reste l'une des plus fragmentées de la sous-région. Le délai moyen de traitement d'un dossier d'Agrément Technique Industriel (ATI) dépasse 45 à 60 jours, contre moins de 15 jours dans les pays comparables ayant digitalisé leurs procédures (Rwanda, Sénégal, Maroc).</w:t>
      </w:r>
    </w:p>
    <w:p>
      <w:pPr>
        <w:keepNext/>
        <w:spacing w:before="240" w:after="80"/>
      </w:pPr>
      <w:r>
        <w:rPr>
          <w:b/>
          <w:color w:val="003F8F"/>
          <w:sz w:val="22"/>
        </w:rPr>
        <w:t>Ce que le PNPI apporte concrètement</w:t>
      </w:r>
    </w:p>
    <w:p>
      <w:pPr>
        <w:pStyle w:val="ListBullet"/>
        <w:spacing w:before="20" w:after="60"/>
        <w:ind w:left="283"/>
      </w:pPr>
      <w:r>
        <w:rPr>
          <w:b/>
          <w:color w:val="003F8F"/>
        </w:rPr>
        <w:t>Réduction des délais ATI :</w:t>
      </w:r>
      <w:r>
        <w:t xml:space="preserve"> 60 jours → moins de 15 jours (–75%)</w:t>
      </w:r>
    </w:p>
    <w:p>
      <w:pPr>
        <w:pStyle w:val="ListBullet"/>
        <w:spacing w:before="20" w:after="60"/>
        <w:ind w:left="283"/>
      </w:pPr>
      <w:r>
        <w:rPr>
          <w:b/>
          <w:color w:val="003F8F"/>
        </w:rPr>
        <w:t>Traçabilité :</w:t>
      </w:r>
      <w:r>
        <w:t xml:space="preserve"> 100% de chaque action sur chaque dossier, dès le premier jour</w:t>
      </w:r>
    </w:p>
    <w:p>
      <w:pPr>
        <w:pStyle w:val="ListBullet"/>
        <w:spacing w:before="20" w:after="60"/>
        <w:ind w:left="283"/>
      </w:pPr>
      <w:r>
        <w:rPr>
          <w:b/>
          <w:color w:val="003F8F"/>
        </w:rPr>
        <w:t>Pilotage ministériel :</w:t>
      </w:r>
      <w:r>
        <w:t xml:space="preserve"> Tableau de bord temps réel — le Ministre pilote l'industrie nationale depuis son bureau</w:t>
      </w:r>
    </w:p>
    <w:p>
      <w:pPr>
        <w:pStyle w:val="ListBullet"/>
        <w:spacing w:before="20" w:after="60"/>
        <w:ind w:left="283"/>
      </w:pPr>
      <w:r>
        <w:rPr>
          <w:b/>
          <w:color w:val="003F8F"/>
        </w:rPr>
        <w:t>Anti-corruption structurel :</w:t>
      </w:r>
      <w:r>
        <w:t xml:space="preserve"> Élimination des contacts discrétionnaires dans le processus d'agrément</w:t>
      </w:r>
    </w:p>
    <w:p>
      <w:pPr>
        <w:pStyle w:val="ListBullet"/>
        <w:spacing w:before="20" w:after="60"/>
        <w:ind w:left="283"/>
      </w:pPr>
      <w:r>
        <w:rPr>
          <w:b/>
          <w:color w:val="003F8F"/>
        </w:rPr>
        <w:t>Leadership régional :</w:t>
      </w:r>
      <w:r>
        <w:t xml:space="preserve"> Gabon positionné comme leader CEMAC de la gouvernance industrielle numérique</w:t>
      </w:r>
    </w:p>
    <w:p/>
    <w:tbl>
      <w:tblPr>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009440"/>
          </w:tcPr>
          <w:p>
            <w:pPr>
              <w:jc w:val="center"/>
            </w:pPr>
            <w:r>
              <w:rPr>
                <w:b/>
                <w:color w:val="FFFFFF"/>
                <w:sz w:val="36"/>
              </w:rPr>
              <w:t>–75%</w:t>
            </w:r>
          </w:p>
        </w:tc>
        <w:tc>
          <w:tcPr>
            <w:tcW w:type="dxa" w:w="1814"/>
            <w:shd w:val="clear" w:color="auto" w:fill="003F8F"/>
          </w:tcPr>
          <w:p>
            <w:pPr>
              <w:jc w:val="center"/>
            </w:pPr>
            <w:r>
              <w:rPr>
                <w:b/>
                <w:color w:val="FFFFFF"/>
                <w:sz w:val="36"/>
              </w:rPr>
              <w:t>&gt;80%</w:t>
            </w:r>
          </w:p>
        </w:tc>
        <w:tc>
          <w:tcPr>
            <w:tcW w:type="dxa" w:w="1814"/>
            <w:shd w:val="clear" w:color="auto" w:fill="FFA800"/>
          </w:tcPr>
          <w:p>
            <w:pPr>
              <w:jc w:val="center"/>
            </w:pPr>
            <w:r>
              <w:rPr>
                <w:b/>
                <w:color w:val="FFFFFF"/>
                <w:sz w:val="36"/>
              </w:rPr>
              <w:t>&lt; 3 ans</w:t>
            </w:r>
          </w:p>
        </w:tc>
        <w:tc>
          <w:tcPr>
            <w:tcW w:type="dxa" w:w="1814"/>
            <w:shd w:val="clear" w:color="auto" w:fill="1A1A2E"/>
          </w:tcPr>
          <w:p>
            <w:pPr>
              <w:jc w:val="center"/>
            </w:pPr>
            <w:r>
              <w:rPr>
                <w:b/>
                <w:color w:val="FFFFFF"/>
                <w:sz w:val="36"/>
              </w:rPr>
              <w:t>100%</w:t>
            </w:r>
          </w:p>
        </w:tc>
        <w:tc>
          <w:tcPr>
            <w:tcW w:type="dxa" w:w="1814"/>
            <w:shd w:val="clear" w:color="auto" w:fill="009440"/>
          </w:tcPr>
          <w:p>
            <w:pPr>
              <w:jc w:val="center"/>
            </w:pPr>
            <w:r>
              <w:rPr>
                <w:b/>
                <w:color w:val="FFFFFF"/>
                <w:sz w:val="36"/>
              </w:rPr>
              <w:t>+145 M</w:t>
            </w:r>
          </w:p>
        </w:tc>
      </w:tr>
      <w:tr>
        <w:tc>
          <w:tcPr>
            <w:tcW w:type="dxa" w:w="1814"/>
            <w:shd w:val="clear" w:color="auto" w:fill="F4F4F4"/>
          </w:tcPr>
          <w:p>
            <w:pPr>
              <w:jc w:val="center"/>
            </w:pPr>
            <w:r>
              <w:rPr>
                <w:color w:val="1A1A2E"/>
                <w:sz w:val="17"/>
              </w:rPr>
              <w:t>Réduction délai ATI</w:t>
            </w:r>
          </w:p>
        </w:tc>
        <w:tc>
          <w:tcPr>
            <w:tcW w:type="dxa" w:w="1814"/>
            <w:shd w:val="clear" w:color="auto" w:fill="F4F4F4"/>
          </w:tcPr>
          <w:p>
            <w:pPr>
              <w:jc w:val="center"/>
            </w:pPr>
            <w:r>
              <w:rPr>
                <w:color w:val="1A1A2E"/>
                <w:sz w:val="17"/>
              </w:rPr>
              <w:t>Dossiers complets (cible)</w:t>
            </w:r>
          </w:p>
        </w:tc>
        <w:tc>
          <w:tcPr>
            <w:tcW w:type="dxa" w:w="1814"/>
            <w:shd w:val="clear" w:color="auto" w:fill="F4F4F4"/>
          </w:tcPr>
          <w:p>
            <w:pPr>
              <w:jc w:val="center"/>
            </w:pPr>
            <w:r>
              <w:rPr>
                <w:color w:val="1A1A2E"/>
                <w:sz w:val="17"/>
              </w:rPr>
              <w:t>Payback period</w:t>
            </w:r>
          </w:p>
        </w:tc>
        <w:tc>
          <w:tcPr>
            <w:tcW w:type="dxa" w:w="1814"/>
            <w:shd w:val="clear" w:color="auto" w:fill="F4F4F4"/>
          </w:tcPr>
          <w:p>
            <w:pPr>
              <w:jc w:val="center"/>
            </w:pPr>
            <w:r>
              <w:rPr>
                <w:color w:val="1A1A2E"/>
                <w:sz w:val="17"/>
              </w:rPr>
              <w:t>Traçabilité</w:t>
            </w:r>
          </w:p>
        </w:tc>
        <w:tc>
          <w:tcPr>
            <w:tcW w:type="dxa" w:w="1814"/>
            <w:shd w:val="clear" w:color="auto" w:fill="F4F4F4"/>
          </w:tcPr>
          <w:p>
            <w:pPr>
              <w:jc w:val="center"/>
            </w:pPr>
            <w:r>
              <w:rPr>
                <w:color w:val="1A1A2E"/>
                <w:sz w:val="17"/>
              </w:rPr>
              <w:t>ROI sur 5 ans</w:t>
            </w:r>
          </w:p>
        </w:tc>
      </w:tr>
    </w:tbl>
    <w:p/>
    <w:tbl>
      <w:tblPr>
        <w:tblW w:type="auto" w:w="0"/>
        <w:jc w:val="center"/>
        <w:tblLook w:firstColumn="1" w:firstRow="1" w:lastColumn="0" w:lastRow="0" w:noHBand="0" w:noVBand="1" w:val="04A0"/>
      </w:tblPr>
      <w:tblGrid>
        <w:gridCol w:w="3024"/>
        <w:gridCol w:w="3024"/>
        <w:gridCol w:w="3024"/>
      </w:tblGrid>
      <w:tr>
        <w:tc>
          <w:tcPr>
            <w:tcW w:type="dxa" w:w="3024"/>
            <w:shd w:val="clear" w:color="auto" w:fill="003F8F"/>
          </w:tcPr>
          <w:p>
            <w:pPr>
              <w:spacing w:before="120" w:after="60"/>
              <w:jc w:val="center"/>
            </w:pPr>
            <w:r>
              <w:rPr>
                <w:b/>
                <w:color w:val="FFFFFF"/>
                <w:sz w:val="26"/>
              </w:rPr>
              <w:t>330–360 M FCFA</w:t>
              <w:br/>
            </w:r>
            <w:r>
              <w:rPr>
                <w:color w:val="FFFFFF"/>
                <w:sz w:val="16"/>
              </w:rPr>
              <w:t>CAPEX</w:t>
              <w:br/>
              <w:t>(mise en place)</w:t>
            </w:r>
          </w:p>
        </w:tc>
        <w:tc>
          <w:tcPr>
            <w:tcW w:type="dxa" w:w="3024"/>
            <w:shd w:val="clear" w:color="auto" w:fill="009440"/>
          </w:tcPr>
          <w:p>
            <w:pPr>
              <w:spacing w:before="120" w:after="60"/>
              <w:jc w:val="center"/>
            </w:pPr>
            <w:r>
              <w:rPr>
                <w:b/>
                <w:color w:val="FFFFFF"/>
                <w:sz w:val="26"/>
              </w:rPr>
              <w:t>110–130 M FCFA/an</w:t>
              <w:br/>
            </w:r>
            <w:r>
              <w:rPr>
                <w:color w:val="FFFFFF"/>
                <w:sz w:val="16"/>
              </w:rPr>
              <w:t>OPEX annuel</w:t>
              <w:br/>
              <w:t>(fonctionnement)</w:t>
            </w:r>
          </w:p>
        </w:tc>
        <w:tc>
          <w:tcPr>
            <w:tcW w:type="dxa" w:w="3024"/>
            <w:shd w:val="clear" w:color="auto" w:fill="1A2E6F"/>
          </w:tcPr>
          <w:p>
            <w:pPr>
              <w:spacing w:before="120" w:after="60"/>
              <w:jc w:val="center"/>
            </w:pPr>
            <w:r>
              <w:rPr>
                <w:b/>
                <w:color w:val="FFFFFF"/>
                <w:sz w:val="26"/>
              </w:rPr>
              <w:t>&lt; 3 ans</w:t>
              <w:br/>
            </w:r>
            <w:r>
              <w:rPr>
                <w:color w:val="FFFFFF"/>
                <w:sz w:val="16"/>
              </w:rPr>
              <w:t>Payback period</w:t>
              <w:br/>
              <w:t>(retour sur investissement)</w:t>
            </w:r>
          </w:p>
        </w:tc>
      </w:tr>
    </w:tbl>
    <w:p/>
    <w:p>
      <w:r>
        <w:br w:type="page"/>
      </w:r>
    </w:p>
    <w:p>
      <w:pPr>
        <w:keepNext/>
        <w:spacing w:before="360" w:after="120"/>
      </w:pPr>
      <w:r>
        <w:rPr>
          <w:b/>
          <w:color w:val="009440"/>
          <w:sz w:val="26"/>
        </w:rPr>
        <w:t>1. OBJET ET PÉRIMÈTRE</w:t>
      </w:r>
    </w:p>
    <w:p>
      <w:pPr>
        <w:spacing w:before="80" w:after="80"/>
        <w:pBdr>
          <w:bottom w:val="single" w:sz="8" w:space="1" w:color="009440"/>
        </w:pBdr>
      </w:pPr>
    </w:p>
    <w:p>
      <w:pPr>
        <w:keepNext/>
        <w:spacing w:before="240" w:after="80"/>
      </w:pPr>
      <w:r>
        <w:rPr>
          <w:b/>
          <w:color w:val="003F8F"/>
          <w:sz w:val="22"/>
        </w:rPr>
        <w:t>1.1 Objet</w:t>
      </w:r>
    </w:p>
    <w:p>
      <w:pPr>
        <w:spacing w:before="40" w:after="80"/>
        <w:jc w:val="left"/>
      </w:pPr>
      <w:r>
        <w:rPr>
          <w:b w:val="0"/>
        </w:rPr>
        <w:t>La présente note définit le cadre institutionnel, technique, organisationnel, financier et stratégique de la Plateforme Nationale de Pilotage Industriel (PNPI), système d'information souverain destiné à :</w:t>
      </w:r>
    </w:p>
    <w:p>
      <w:pPr>
        <w:pStyle w:val="ListBullet"/>
        <w:spacing w:before="20" w:after="60"/>
        <w:ind w:left="283"/>
      </w:pPr>
      <w:r>
        <w:rPr>
          <w:b/>
          <w:color w:val="003F8F"/>
        </w:rPr>
        <w:t>Dématérialiser</w:t>
      </w:r>
      <w:r>
        <w:t xml:space="preserve"> les démarches prioritaires d'agrément et de suivi industriel</w:t>
      </w:r>
    </w:p>
    <w:p>
      <w:pPr>
        <w:pStyle w:val="ListBullet"/>
        <w:spacing w:before="20" w:after="60"/>
        <w:ind w:left="283"/>
      </w:pPr>
      <w:r>
        <w:rPr>
          <w:b/>
          <w:color w:val="003F8F"/>
        </w:rPr>
        <w:t>Centraliser</w:t>
      </w:r>
      <w:r>
        <w:t xml:space="preserve"> l'ensemble des dossiers industriels dans un registre national unique</w:t>
      </w:r>
    </w:p>
    <w:p>
      <w:pPr>
        <w:pStyle w:val="ListBullet"/>
        <w:spacing w:before="20" w:after="60"/>
        <w:ind w:left="283"/>
      </w:pPr>
      <w:r>
        <w:rPr>
          <w:b/>
          <w:color w:val="003F8F"/>
        </w:rPr>
        <w:t>Outiller</w:t>
      </w:r>
      <w:r>
        <w:t xml:space="preserve"> le Ministère de l'Industrie d'instruments de pilotage fiables et en temps réel</w:t>
      </w:r>
    </w:p>
    <w:p>
      <w:pPr>
        <w:pStyle w:val="ListBullet"/>
        <w:spacing w:before="20" w:after="60"/>
        <w:ind w:left="283"/>
      </w:pPr>
      <w:r>
        <w:rPr>
          <w:b/>
          <w:color w:val="003F8F"/>
        </w:rPr>
        <w:t>Éliminer</w:t>
      </w:r>
      <w:r>
        <w:t xml:space="preserve"> les processus opaques et discrétionnaires qui nuisent à l'attractivité du Gabon</w:t>
      </w:r>
    </w:p>
    <w:p>
      <w:pPr>
        <w:pStyle w:val="ListBullet"/>
        <w:spacing w:before="20" w:after="60"/>
        <w:ind w:left="283"/>
      </w:pPr>
      <w:r>
        <w:rPr>
          <w:b/>
          <w:color w:val="003F8F"/>
        </w:rPr>
        <w:t>Préparer</w:t>
      </w:r>
      <w:r>
        <w:t xml:space="preserve"> l'interopérabilité numérique avec ANPI, Douanes, DGI et Ministère du Commerce</w:t>
      </w:r>
    </w:p>
    <w:p>
      <w:pPr>
        <w:keepNext/>
        <w:spacing w:before="240" w:after="80"/>
      </w:pPr>
      <w:r>
        <w:rPr>
          <w:b/>
          <w:color w:val="003F8F"/>
          <w:sz w:val="22"/>
        </w:rPr>
        <w:t>1.2 Positionnement stratégique</w:t>
      </w:r>
    </w:p>
    <w:p>
      <w:pPr>
        <w:spacing w:before="40" w:after="80"/>
        <w:jc w:val="left"/>
      </w:pPr>
      <w:r>
        <w:rPr>
          <w:b w:val="0"/>
        </w:rPr>
        <w:t>Le PNPI s'inscrit dans trois cadres stratégiques convergents :</w:t>
      </w:r>
    </w:p>
    <w:p>
      <w:pPr>
        <w:pStyle w:val="ListBullet"/>
        <w:spacing w:before="20" w:after="60"/>
        <w:ind w:left="283"/>
      </w:pPr>
      <w:r>
        <w:rPr>
          <w:b/>
          <w:color w:val="003F8F"/>
        </w:rPr>
        <w:t>Agenda de la Transition (CTRI) :</w:t>
      </w:r>
      <w:r>
        <w:t xml:space="preserve"> Modernisation de l'État, lutte contre la corruption, reddition de comptes</w:t>
      </w:r>
    </w:p>
    <w:p>
      <w:pPr>
        <w:pStyle w:val="ListBullet"/>
        <w:spacing w:before="20" w:after="60"/>
        <w:ind w:left="283"/>
      </w:pPr>
      <w:r>
        <w:rPr>
          <w:b/>
          <w:color w:val="003F8F"/>
        </w:rPr>
        <w:t>Stratégie Gabon Digital :</w:t>
      </w:r>
      <w:r>
        <w:t xml:space="preserve"> Transformation numérique des services publics gabonais</w:t>
      </w:r>
    </w:p>
    <w:p>
      <w:pPr>
        <w:pStyle w:val="ListBullet"/>
        <w:spacing w:before="20" w:after="60"/>
        <w:ind w:left="283"/>
      </w:pPr>
      <w:r>
        <w:rPr>
          <w:b/>
          <w:color w:val="003F8F"/>
        </w:rPr>
        <w:t>Engagements de développement industriel :</w:t>
      </w:r>
      <w:r>
        <w:t xml:space="preserve"> Diversification économique, création d'emplois, réduction des importations</w:t>
      </w:r>
    </w:p>
    <w:p/>
    <w:tbl>
      <w:tblPr>
        <w:tblStyle w:val="TableGrid"/>
        <w:tblW w:type="auto" w:w="0"/>
        <w:tblLook w:firstColumn="1" w:firstRow="1" w:lastColumn="0" w:lastRow="0" w:noHBand="0" w:noVBand="1" w:val="04A0"/>
      </w:tblPr>
      <w:tblGrid>
        <w:gridCol w:w="9072"/>
      </w:tblGrid>
      <w:tr>
        <w:tc>
          <w:tcPr>
            <w:tcW w:type="dxa" w:w="9071"/>
            <w:shd w:val="clear" w:color="auto" w:fill="EBF5FF"/>
          </w:tcPr>
          <w:p>
            <w:pPr>
              <w:spacing w:before="80" w:after="80"/>
              <w:ind w:left="170"/>
            </w:pPr>
            <w:r>
              <w:rPr>
                <w:b w:val="0"/>
                <w:color w:val="1A1A2E"/>
                <w:sz w:val="20"/>
              </w:rPr>
              <w:t>« Le PNPI matérialise la promesse de rupture de la Transition dans le secteur économique. C'est l'instrument le plus visible et le plus immédiat de la réforme administrative industrielle. »</w:t>
            </w:r>
          </w:p>
        </w:tc>
      </w:tr>
    </w:tbl>
    <w:p/>
    <w:p>
      <w:r>
        <w:br w:type="page"/>
      </w:r>
    </w:p>
    <w:p>
      <w:pPr>
        <w:keepNext/>
        <w:spacing w:before="360" w:after="120"/>
      </w:pPr>
      <w:r>
        <w:rPr>
          <w:b/>
          <w:color w:val="009440"/>
          <w:sz w:val="26"/>
        </w:rPr>
        <w:t>2. CONTEXTE, DIAGNOSTIC ET JUSTIFICATION</w:t>
      </w:r>
    </w:p>
    <w:p>
      <w:pPr>
        <w:spacing w:before="80" w:after="80"/>
        <w:pBdr>
          <w:bottom w:val="single" w:sz="8" w:space="1" w:color="009440"/>
        </w:pBdr>
      </w:pPr>
    </w:p>
    <w:p>
      <w:pPr>
        <w:keepNext/>
        <w:spacing w:before="240" w:after="80"/>
      </w:pPr>
      <w:r>
        <w:rPr>
          <w:b/>
          <w:color w:val="003F8F"/>
          <w:sz w:val="22"/>
        </w:rPr>
        <w:t>2.1 État des lieux quantifié</w:t>
      </w:r>
    </w:p>
    <w:p>
      <w:pPr>
        <w:spacing w:before="40" w:after="80"/>
        <w:jc w:val="left"/>
      </w:pPr>
      <w:r>
        <w:rPr>
          <w:b w:val="0"/>
        </w:rPr>
        <w:t>L'administration industrielle gabonaise présente aujourd'hui les caractéristiques suivantes :</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009440"/>
          </w:tcPr>
          <w:p>
            <w:pPr>
              <w:spacing w:before="60" w:after="60"/>
              <w:jc w:val="center"/>
            </w:pPr>
            <w:r>
              <w:rPr>
                <w:b/>
                <w:color w:val="FFFFFF"/>
                <w:sz w:val="18"/>
              </w:rPr>
              <w:t>Indicateur</w:t>
            </w:r>
          </w:p>
        </w:tc>
        <w:tc>
          <w:tcPr>
            <w:tcW w:type="dxa" w:w="2551"/>
            <w:shd w:val="clear" w:color="auto" w:fill="009440"/>
          </w:tcPr>
          <w:p>
            <w:pPr>
              <w:spacing w:before="60" w:after="60"/>
              <w:jc w:val="center"/>
            </w:pPr>
            <w:r>
              <w:rPr>
                <w:b/>
                <w:color w:val="FFFFFF"/>
                <w:sz w:val="18"/>
              </w:rPr>
              <w:t>Situation actuelle</w:t>
            </w:r>
          </w:p>
        </w:tc>
        <w:tc>
          <w:tcPr>
            <w:tcW w:type="dxa" w:w="2551"/>
            <w:shd w:val="clear" w:color="auto" w:fill="009440"/>
          </w:tcPr>
          <w:p>
            <w:pPr>
              <w:spacing w:before="60" w:after="60"/>
              <w:jc w:val="center"/>
            </w:pPr>
            <w:r>
              <w:rPr>
                <w:b/>
                <w:color w:val="FFFFFF"/>
                <w:sz w:val="18"/>
              </w:rPr>
              <w:t>Cible PNPI</w:t>
            </w:r>
          </w:p>
        </w:tc>
      </w:tr>
      <w:tr>
        <w:tc>
          <w:tcPr>
            <w:tcW w:type="dxa" w:w="3685"/>
            <w:shd w:val="clear" w:color="auto" w:fill="FFFFFF"/>
          </w:tcPr>
          <w:p>
            <w:pPr>
              <w:spacing w:before="40" w:after="40"/>
            </w:pPr>
            <w:r>
              <w:rPr>
                <w:b/>
                <w:sz w:val="18"/>
              </w:rPr>
              <w:t>Délai moyen de traitement ATI</w:t>
            </w:r>
          </w:p>
        </w:tc>
        <w:tc>
          <w:tcPr>
            <w:tcW w:type="dxa" w:w="2551"/>
            <w:shd w:val="clear" w:color="auto" w:fill="FFFFFF"/>
          </w:tcPr>
          <w:p>
            <w:pPr>
              <w:spacing w:before="40" w:after="40"/>
            </w:pPr>
            <w:r>
              <w:rPr>
                <w:sz w:val="18"/>
              </w:rPr>
              <w:t>45–60 jours</w:t>
            </w:r>
          </w:p>
        </w:tc>
        <w:tc>
          <w:tcPr>
            <w:tcW w:type="dxa" w:w="2551"/>
            <w:shd w:val="clear" w:color="auto" w:fill="FFFFFF"/>
          </w:tcPr>
          <w:p>
            <w:pPr>
              <w:spacing w:before="40" w:after="40"/>
            </w:pPr>
            <w:r>
              <w:rPr>
                <w:sz w:val="18"/>
              </w:rPr>
              <w:t>&lt; 15 jours</w:t>
            </w:r>
          </w:p>
        </w:tc>
      </w:tr>
      <w:tr>
        <w:tc>
          <w:tcPr>
            <w:tcW w:type="dxa" w:w="3685"/>
            <w:shd w:val="clear" w:color="auto" w:fill="F4F7FB"/>
          </w:tcPr>
          <w:p>
            <w:pPr>
              <w:spacing w:before="40" w:after="40"/>
            </w:pPr>
            <w:r>
              <w:rPr>
                <w:b/>
                <w:sz w:val="18"/>
              </w:rPr>
              <w:t>Taux de dossiers complets au 1er dépôt</w:t>
            </w:r>
          </w:p>
        </w:tc>
        <w:tc>
          <w:tcPr>
            <w:tcW w:type="dxa" w:w="2551"/>
            <w:shd w:val="clear" w:color="auto" w:fill="F4F7FB"/>
          </w:tcPr>
          <w:p>
            <w:pPr>
              <w:spacing w:before="40" w:after="40"/>
            </w:pPr>
            <w:r>
              <w:rPr>
                <w:sz w:val="18"/>
              </w:rPr>
              <w:t>Estimé à 30–40%</w:t>
            </w:r>
          </w:p>
        </w:tc>
        <w:tc>
          <w:tcPr>
            <w:tcW w:type="dxa" w:w="2551"/>
            <w:shd w:val="clear" w:color="auto" w:fill="F4F7FB"/>
          </w:tcPr>
          <w:p>
            <w:pPr>
              <w:spacing w:before="40" w:after="40"/>
            </w:pPr>
            <w:r>
              <w:rPr>
                <w:sz w:val="18"/>
              </w:rPr>
              <w:t>&gt; 80%</w:t>
            </w:r>
          </w:p>
        </w:tc>
      </w:tr>
      <w:tr>
        <w:tc>
          <w:tcPr>
            <w:tcW w:type="dxa" w:w="3685"/>
            <w:shd w:val="clear" w:color="auto" w:fill="FFFFFF"/>
          </w:tcPr>
          <w:p>
            <w:pPr>
              <w:spacing w:before="40" w:after="40"/>
            </w:pPr>
            <w:r>
              <w:rPr>
                <w:b/>
                <w:sz w:val="18"/>
              </w:rPr>
              <w:t>Traçabilité des décisions</w:t>
            </w:r>
          </w:p>
        </w:tc>
        <w:tc>
          <w:tcPr>
            <w:tcW w:type="dxa" w:w="2551"/>
            <w:shd w:val="clear" w:color="auto" w:fill="FFFFFF"/>
          </w:tcPr>
          <w:p>
            <w:pPr>
              <w:spacing w:before="40" w:after="40"/>
            </w:pPr>
            <w:r>
              <w:rPr>
                <w:sz w:val="18"/>
              </w:rPr>
              <w:t>Nulle — registres papier</w:t>
            </w:r>
          </w:p>
        </w:tc>
        <w:tc>
          <w:tcPr>
            <w:tcW w:type="dxa" w:w="2551"/>
            <w:shd w:val="clear" w:color="auto" w:fill="FFFFFF"/>
          </w:tcPr>
          <w:p>
            <w:pPr>
              <w:spacing w:before="40" w:after="40"/>
            </w:pPr>
            <w:r>
              <w:rPr>
                <w:sz w:val="18"/>
              </w:rPr>
              <w:t>100%</w:t>
            </w:r>
          </w:p>
        </w:tc>
      </w:tr>
      <w:tr>
        <w:tc>
          <w:tcPr>
            <w:tcW w:type="dxa" w:w="3685"/>
            <w:shd w:val="clear" w:color="auto" w:fill="F4F7FB"/>
          </w:tcPr>
          <w:p>
            <w:pPr>
              <w:spacing w:before="40" w:after="40"/>
            </w:pPr>
            <w:r>
              <w:rPr>
                <w:b/>
                <w:sz w:val="18"/>
              </w:rPr>
              <w:t>Visibilité sur le parc industriel</w:t>
            </w:r>
          </w:p>
        </w:tc>
        <w:tc>
          <w:tcPr>
            <w:tcW w:type="dxa" w:w="2551"/>
            <w:shd w:val="clear" w:color="auto" w:fill="F4F7FB"/>
          </w:tcPr>
          <w:p>
            <w:pPr>
              <w:spacing w:before="40" w:after="40"/>
            </w:pPr>
            <w:r>
              <w:rPr>
                <w:sz w:val="18"/>
              </w:rPr>
              <w:t>Partielle, non consolidée</w:t>
            </w:r>
          </w:p>
        </w:tc>
        <w:tc>
          <w:tcPr>
            <w:tcW w:type="dxa" w:w="2551"/>
            <w:shd w:val="clear" w:color="auto" w:fill="F4F7FB"/>
          </w:tcPr>
          <w:p>
            <w:pPr>
              <w:spacing w:before="40" w:after="40"/>
            </w:pPr>
            <w:r>
              <w:rPr>
                <w:sz w:val="18"/>
              </w:rPr>
              <w:t>Temps réel</w:t>
            </w:r>
          </w:p>
        </w:tc>
      </w:tr>
      <w:tr>
        <w:tc>
          <w:tcPr>
            <w:tcW w:type="dxa" w:w="3685"/>
            <w:shd w:val="clear" w:color="auto" w:fill="FFFFFF"/>
          </w:tcPr>
          <w:p>
            <w:pPr>
              <w:spacing w:before="40" w:after="40"/>
            </w:pPr>
            <w:r>
              <w:rPr>
                <w:b/>
                <w:sz w:val="18"/>
              </w:rPr>
              <w:t>Coordination inter-administrations</w:t>
            </w:r>
          </w:p>
        </w:tc>
        <w:tc>
          <w:tcPr>
            <w:tcW w:type="dxa" w:w="2551"/>
            <w:shd w:val="clear" w:color="auto" w:fill="FFFFFF"/>
          </w:tcPr>
          <w:p>
            <w:pPr>
              <w:spacing w:before="40" w:after="40"/>
            </w:pPr>
            <w:r>
              <w:rPr>
                <w:sz w:val="18"/>
              </w:rPr>
              <w:t>Zéro — visites séquentielles</w:t>
            </w:r>
          </w:p>
        </w:tc>
        <w:tc>
          <w:tcPr>
            <w:tcW w:type="dxa" w:w="2551"/>
            <w:shd w:val="clear" w:color="auto" w:fill="FFFFFF"/>
          </w:tcPr>
          <w:p>
            <w:pPr>
              <w:spacing w:before="40" w:after="40"/>
            </w:pPr>
            <w:r>
              <w:rPr>
                <w:sz w:val="18"/>
              </w:rPr>
              <w:t>Plateforme partagée</w:t>
            </w:r>
          </w:p>
        </w:tc>
      </w:tr>
      <w:tr>
        <w:tc>
          <w:tcPr>
            <w:tcW w:type="dxa" w:w="3685"/>
            <w:shd w:val="clear" w:color="auto" w:fill="F4F7FB"/>
          </w:tcPr>
          <w:p>
            <w:pPr>
              <w:spacing w:before="40" w:after="40"/>
            </w:pPr>
            <w:r>
              <w:rPr>
                <w:b/>
                <w:sz w:val="18"/>
              </w:rPr>
              <w:t>Données pour la décision ministérielle</w:t>
            </w:r>
          </w:p>
        </w:tc>
        <w:tc>
          <w:tcPr>
            <w:tcW w:type="dxa" w:w="2551"/>
            <w:shd w:val="clear" w:color="auto" w:fill="F4F7FB"/>
          </w:tcPr>
          <w:p>
            <w:pPr>
              <w:spacing w:before="40" w:after="40"/>
            </w:pPr>
            <w:r>
              <w:rPr>
                <w:sz w:val="18"/>
              </w:rPr>
              <w:t>Rapports trimestriels tardifs</w:t>
            </w:r>
          </w:p>
        </w:tc>
        <w:tc>
          <w:tcPr>
            <w:tcW w:type="dxa" w:w="2551"/>
            <w:shd w:val="clear" w:color="auto" w:fill="F4F7FB"/>
          </w:tcPr>
          <w:p>
            <w:pPr>
              <w:spacing w:before="40" w:after="40"/>
            </w:pPr>
            <w:r>
              <w:rPr>
                <w:sz w:val="18"/>
              </w:rPr>
              <w:t>Dashboard permanent</w:t>
            </w:r>
          </w:p>
        </w:tc>
      </w:tr>
    </w:tbl>
    <w:p/>
    <w:p>
      <w:pPr>
        <w:keepNext/>
        <w:spacing w:before="240" w:after="80"/>
      </w:pPr>
      <w:r>
        <w:rPr>
          <w:b/>
          <w:color w:val="003F8F"/>
          <w:sz w:val="22"/>
        </w:rPr>
        <w:t>2.2 Les cinq dysfonctionnements structurels</w:t>
      </w:r>
    </w:p>
    <w:p>
      <w:pPr>
        <w:spacing w:before="120"/>
        <w:ind w:left="170"/>
      </w:pPr>
      <w:r>
        <w:rPr>
          <w:b/>
          <w:color w:val="C0392B"/>
        </w:rPr>
        <w:t xml:space="preserve">① Fragmentation des circuits — </w:t>
      </w:r>
      <w:r>
        <w:t>Un dossier ATI passe successivement dans plusieurs bureaux sans traçabilité ni délai contractuel. L'opérateur ne sait pas où en est son dossier.</w:t>
      </w:r>
    </w:p>
    <w:p>
      <w:pPr>
        <w:spacing w:before="120"/>
        <w:ind w:left="170"/>
      </w:pPr>
      <w:r>
        <w:rPr>
          <w:b/>
          <w:color w:val="C0392B"/>
        </w:rPr>
        <w:t xml:space="preserve">② Opacité et discrétionnaire — </w:t>
      </w:r>
      <w:r>
        <w:t>L'absence de processus formalisé crée des espaces de discrétion qui favorisent les demandes informelles d'accélération, nuisant à l'égalité de traitement.</w:t>
      </w:r>
    </w:p>
    <w:p>
      <w:pPr>
        <w:spacing w:before="120"/>
        <w:ind w:left="170"/>
      </w:pPr>
      <w:r>
        <w:rPr>
          <w:b/>
          <w:color w:val="C0392B"/>
        </w:rPr>
        <w:t xml:space="preserve">③ Perte de mémoire institutionnelle — </w:t>
      </w:r>
      <w:r>
        <w:t>Les mutations de personnel entraînent des pertes de dossiers. Une entreprise présente depuis 15 ans peut se voir demander des documents déjà fournis plusieurs fois.</w:t>
      </w:r>
    </w:p>
    <w:p>
      <w:pPr>
        <w:spacing w:before="120"/>
        <w:ind w:left="170"/>
      </w:pPr>
      <w:r>
        <w:rPr>
          <w:b/>
          <w:color w:val="C0392B"/>
        </w:rPr>
        <w:t xml:space="preserve">④ Reporting non consolidé — </w:t>
      </w:r>
      <w:r>
        <w:t>Le Ministre reçoit des rapports trimestriels manuels, souvent obsolètes. Aucun outil ne permet de piloter l'activité industrielle nationale en temps réel.</w:t>
      </w:r>
    </w:p>
    <w:p>
      <w:pPr>
        <w:spacing w:before="120"/>
        <w:ind w:left="170"/>
      </w:pPr>
      <w:r>
        <w:rPr>
          <w:b/>
          <w:color w:val="C0392B"/>
        </w:rPr>
        <w:t xml:space="preserve">⑤ Multiplication non coordonnée des contrôles — </w:t>
      </w:r>
      <w:r>
        <w:t>Un industriel peut recevoir en quelques semaines la visite non coordonnée de l'inspection du travail, de l'environnement, de l'industrie et des douanes, générant des coûts cachés significatifs.</w:t>
      </w:r>
    </w:p>
    <w:p>
      <w:pPr>
        <w:keepNext/>
        <w:spacing w:before="240" w:after="80"/>
      </w:pPr>
      <w:r>
        <w:rPr>
          <w:b/>
          <w:color w:val="003F8F"/>
          <w:sz w:val="22"/>
        </w:rPr>
        <w:t>2.3 Le coût du statu quo</w:t>
      </w:r>
    </w:p>
    <w:tbl>
      <w:tblPr>
        <w:tblStyle w:val="TableGrid"/>
        <w:tblW w:type="auto" w:w="0"/>
        <w:jc w:val="left"/>
        <w:tblLook w:firstColumn="1" w:firstRow="1" w:lastColumn="0" w:lastRow="0" w:noHBand="0" w:noVBand="1" w:val="04A0"/>
      </w:tblPr>
      <w:tblGrid>
        <w:gridCol w:w="3024"/>
        <w:gridCol w:w="3024"/>
        <w:gridCol w:w="3024"/>
      </w:tblGrid>
      <w:tr>
        <w:tc>
          <w:tcPr>
            <w:tcW w:type="dxa" w:w="4535"/>
            <w:shd w:val="clear" w:color="auto" w:fill="C0392B"/>
          </w:tcPr>
          <w:p>
            <w:pPr>
              <w:spacing w:before="60" w:after="60"/>
              <w:jc w:val="center"/>
            </w:pPr>
            <w:r>
              <w:rPr>
                <w:b/>
                <w:color w:val="FFFFFF"/>
                <w:sz w:val="18"/>
              </w:rPr>
              <w:t>Poste de coût</w:t>
            </w:r>
          </w:p>
        </w:tc>
        <w:tc>
          <w:tcPr>
            <w:tcW w:type="dxa" w:w="2268"/>
            <w:shd w:val="clear" w:color="auto" w:fill="C0392B"/>
          </w:tcPr>
          <w:p>
            <w:pPr>
              <w:spacing w:before="60" w:after="60"/>
              <w:jc w:val="center"/>
            </w:pPr>
            <w:r>
              <w:rPr>
                <w:b/>
                <w:color w:val="FFFFFF"/>
                <w:sz w:val="18"/>
              </w:rPr>
              <w:t>Estimation annuelle</w:t>
            </w:r>
          </w:p>
        </w:tc>
        <w:tc>
          <w:tcPr>
            <w:tcW w:type="dxa" w:w="1984"/>
            <w:shd w:val="clear" w:color="auto" w:fill="C0392B"/>
          </w:tcPr>
          <w:p>
            <w:pPr>
              <w:spacing w:before="60" w:after="60"/>
              <w:jc w:val="center"/>
            </w:pPr>
            <w:r>
              <w:rPr>
                <w:b/>
                <w:color w:val="FFFFFF"/>
                <w:sz w:val="18"/>
              </w:rPr>
              <w:t>Statut</w:t>
            </w:r>
          </w:p>
        </w:tc>
      </w:tr>
      <w:tr>
        <w:tc>
          <w:tcPr>
            <w:tcW w:type="dxa" w:w="4535"/>
            <w:shd w:val="clear" w:color="auto" w:fill="FFFFFF"/>
          </w:tcPr>
          <w:p>
            <w:pPr>
              <w:spacing w:before="40" w:after="40"/>
            </w:pPr>
            <w:r>
              <w:rPr>
                <w:b/>
                <w:sz w:val="18"/>
              </w:rPr>
              <w:t>Agents dédiés processus ATI (10 agents)</w:t>
            </w:r>
          </w:p>
        </w:tc>
        <w:tc>
          <w:tcPr>
            <w:tcW w:type="dxa" w:w="2268"/>
            <w:shd w:val="clear" w:color="auto" w:fill="FFFFFF"/>
          </w:tcPr>
          <w:p>
            <w:pPr>
              <w:spacing w:before="40" w:after="40"/>
            </w:pPr>
            <w:r>
              <w:rPr>
                <w:sz w:val="18"/>
              </w:rPr>
              <w:t>60 M FCFA/an</w:t>
            </w:r>
          </w:p>
        </w:tc>
        <w:tc>
          <w:tcPr>
            <w:tcW w:type="dxa" w:w="1984"/>
            <w:shd w:val="clear" w:color="auto" w:fill="FFFFFF"/>
          </w:tcPr>
          <w:p>
            <w:pPr>
              <w:spacing w:before="40" w:after="40"/>
            </w:pPr>
            <w:r>
              <w:rPr>
                <w:sz w:val="18"/>
              </w:rPr>
              <w:t>Mesuré</w:t>
            </w:r>
          </w:p>
        </w:tc>
      </w:tr>
      <w:tr>
        <w:tc>
          <w:tcPr>
            <w:tcW w:type="dxa" w:w="4535"/>
            <w:shd w:val="clear" w:color="auto" w:fill="F4F7FB"/>
          </w:tcPr>
          <w:p>
            <w:pPr>
              <w:spacing w:before="40" w:after="40"/>
            </w:pPr>
            <w:r>
              <w:rPr>
                <w:b/>
                <w:sz w:val="18"/>
              </w:rPr>
              <w:t>Archives physiques, courriers, déplacements</w:t>
            </w:r>
          </w:p>
        </w:tc>
        <w:tc>
          <w:tcPr>
            <w:tcW w:type="dxa" w:w="2268"/>
            <w:shd w:val="clear" w:color="auto" w:fill="F4F7FB"/>
          </w:tcPr>
          <w:p>
            <w:pPr>
              <w:spacing w:before="40" w:after="40"/>
            </w:pPr>
            <w:r>
              <w:rPr>
                <w:sz w:val="18"/>
              </w:rPr>
              <w:t>5–8 M FCFA/an</w:t>
            </w:r>
          </w:p>
        </w:tc>
        <w:tc>
          <w:tcPr>
            <w:tcW w:type="dxa" w:w="1984"/>
            <w:shd w:val="clear" w:color="auto" w:fill="F4F7FB"/>
          </w:tcPr>
          <w:p>
            <w:pPr>
              <w:spacing w:before="40" w:after="40"/>
            </w:pPr>
            <w:r>
              <w:rPr>
                <w:sz w:val="18"/>
              </w:rPr>
              <w:t>Estimé</w:t>
            </w:r>
          </w:p>
        </w:tc>
      </w:tr>
      <w:tr>
        <w:tc>
          <w:tcPr>
            <w:tcW w:type="dxa" w:w="4535"/>
            <w:shd w:val="clear" w:color="auto" w:fill="FFFFFF"/>
          </w:tcPr>
          <w:p>
            <w:pPr>
              <w:spacing w:before="40" w:after="40"/>
            </w:pPr>
            <w:r>
              <w:rPr>
                <w:b/>
                <w:sz w:val="18"/>
              </w:rPr>
              <w:t>Contentieux administratifs liés aux retards</w:t>
            </w:r>
          </w:p>
        </w:tc>
        <w:tc>
          <w:tcPr>
            <w:tcW w:type="dxa" w:w="2268"/>
            <w:shd w:val="clear" w:color="auto" w:fill="FFFFFF"/>
          </w:tcPr>
          <w:p>
            <w:pPr>
              <w:spacing w:before="40" w:after="40"/>
            </w:pPr>
            <w:r>
              <w:rPr>
                <w:sz w:val="18"/>
              </w:rPr>
              <w:t>Non mesuré</w:t>
            </w:r>
          </w:p>
        </w:tc>
        <w:tc>
          <w:tcPr>
            <w:tcW w:type="dxa" w:w="1984"/>
            <w:shd w:val="clear" w:color="auto" w:fill="FFFFFF"/>
          </w:tcPr>
          <w:p>
            <w:pPr>
              <w:spacing w:before="40" w:after="40"/>
            </w:pPr>
            <w:r>
              <w:rPr>
                <w:sz w:val="18"/>
              </w:rPr>
              <w:t>Réel</w:t>
            </w:r>
          </w:p>
        </w:tc>
      </w:tr>
      <w:tr>
        <w:tc>
          <w:tcPr>
            <w:tcW w:type="dxa" w:w="4535"/>
            <w:shd w:val="clear" w:color="auto" w:fill="F4F7FB"/>
          </w:tcPr>
          <w:p>
            <w:pPr>
              <w:spacing w:before="40" w:after="40"/>
            </w:pPr>
            <w:r>
              <w:rPr>
                <w:b/>
                <w:sz w:val="18"/>
              </w:rPr>
              <w:t>Valeur économique bloquée (200 dossiers × 30j × 300K/j)</w:t>
            </w:r>
          </w:p>
        </w:tc>
        <w:tc>
          <w:tcPr>
            <w:tcW w:type="dxa" w:w="2268"/>
            <w:shd w:val="clear" w:color="auto" w:fill="F4F7FB"/>
          </w:tcPr>
          <w:p>
            <w:pPr>
              <w:spacing w:before="40" w:after="40"/>
            </w:pPr>
            <w:r>
              <w:rPr>
                <w:sz w:val="18"/>
              </w:rPr>
              <w:t>1,8 Mds FCFA/an</w:t>
            </w:r>
          </w:p>
        </w:tc>
        <w:tc>
          <w:tcPr>
            <w:tcW w:type="dxa" w:w="1984"/>
            <w:shd w:val="clear" w:color="auto" w:fill="F4F7FB"/>
          </w:tcPr>
          <w:p>
            <w:pPr>
              <w:spacing w:before="40" w:after="40"/>
            </w:pPr>
            <w:r>
              <w:rPr>
                <w:sz w:val="18"/>
              </w:rPr>
              <w:t>Calculé</w:t>
            </w:r>
          </w:p>
        </w:tc>
      </w:tr>
      <w:tr>
        <w:tc>
          <w:tcPr>
            <w:tcW w:type="dxa" w:w="4535"/>
            <w:shd w:val="clear" w:color="auto" w:fill="FFFFFF"/>
          </w:tcPr>
          <w:p>
            <w:pPr>
              <w:spacing w:before="40" w:after="40"/>
            </w:pPr>
            <w:r>
              <w:rPr>
                <w:b/>
                <w:sz w:val="18"/>
              </w:rPr>
              <w:t>Investissements perdus (image pays)</w:t>
            </w:r>
          </w:p>
        </w:tc>
        <w:tc>
          <w:tcPr>
            <w:tcW w:type="dxa" w:w="2268"/>
            <w:shd w:val="clear" w:color="auto" w:fill="FFFFFF"/>
          </w:tcPr>
          <w:p>
            <w:pPr>
              <w:spacing w:before="40" w:after="40"/>
            </w:pPr>
            <w:r>
              <w:rPr>
                <w:sz w:val="18"/>
              </w:rPr>
              <w:t>Non quantifié</w:t>
            </w:r>
          </w:p>
        </w:tc>
        <w:tc>
          <w:tcPr>
            <w:tcW w:type="dxa" w:w="1984"/>
            <w:shd w:val="clear" w:color="auto" w:fill="FFFFFF"/>
          </w:tcPr>
          <w:p>
            <w:pPr>
              <w:spacing w:before="40" w:after="40"/>
            </w:pPr>
            <w:r>
              <w:rPr>
                <w:sz w:val="18"/>
              </w:rPr>
              <w:t>Significatif</w:t>
            </w:r>
          </w:p>
        </w:tc>
      </w:tr>
    </w:tbl>
    <w:p/>
    <w:tbl>
      <w:tblPr>
        <w:tblStyle w:val="TableGrid"/>
        <w:tblW w:type="auto" w:w="0"/>
        <w:tblLook w:firstColumn="1" w:firstRow="1" w:lastColumn="0" w:lastRow="0" w:noHBand="0" w:noVBand="1" w:val="04A0"/>
      </w:tblPr>
      <w:tblGrid>
        <w:gridCol w:w="9072"/>
      </w:tblGrid>
      <w:tr>
        <w:tc>
          <w:tcPr>
            <w:tcW w:type="dxa" w:w="9071"/>
            <w:shd w:val="clear" w:color="auto" w:fill="FFF3CD"/>
          </w:tcPr>
          <w:p>
            <w:pPr>
              <w:spacing w:before="80" w:after="80"/>
              <w:ind w:left="170"/>
            </w:pPr>
            <w:r>
              <w:rPr>
                <w:b w:val="0"/>
                <w:color w:val="1A1A2E"/>
                <w:sz w:val="20"/>
              </w:rPr>
              <w:t>CONCLUSION : Le statu quo coûte entre 1,5 et 2 milliards FCFA par an à l'économie gabonaise. Le PNPI représente un investissement de 350 M FCFA — soit moins de 6 mois du coût de l'inaction.</w:t>
            </w:r>
          </w:p>
        </w:tc>
      </w:tr>
    </w:tbl>
    <w:p/>
    <w:p>
      <w:pPr>
        <w:keepNext/>
        <w:spacing w:before="240" w:after="80"/>
      </w:pPr>
      <w:r>
        <w:rPr>
          <w:b/>
          <w:color w:val="003F8F"/>
          <w:sz w:val="22"/>
        </w:rPr>
        <w:t>2.4 La fenêtre d'opportunité de la Transition</w:t>
      </w:r>
    </w:p>
    <w:p>
      <w:pPr>
        <w:pStyle w:val="ListBullet"/>
        <w:spacing w:before="20" w:after="60"/>
        <w:ind w:left="283"/>
      </w:pPr>
      <w:r>
        <w:t>La Transition (CTRI) a déclaré la rupture avec les pratiques opaques de l'ancien régime</w:t>
      </w:r>
    </w:p>
    <w:p>
      <w:pPr>
        <w:pStyle w:val="ListBullet"/>
        <w:spacing w:before="20" w:after="60"/>
        <w:ind w:left="283"/>
      </w:pPr>
      <w:r>
        <w:t>La modernisation administrative est un outil de légitimation et de crédibilisation de la Transition</w:t>
      </w:r>
    </w:p>
    <w:p>
      <w:pPr>
        <w:pStyle w:val="ListBullet"/>
        <w:spacing w:before="20" w:after="60"/>
        <w:ind w:left="283"/>
      </w:pPr>
      <w:r>
        <w:t>Les partenaires financiers (BM, BAD, UE) attendent des projets structurants pour mobiliser leurs financements</w:t>
      </w:r>
    </w:p>
    <w:p>
      <w:pPr>
        <w:pStyle w:val="ListBullet"/>
        <w:spacing w:before="20" w:after="60"/>
        <w:ind w:left="283"/>
      </w:pPr>
      <w:r>
        <w:t>La Côte d'Ivoire, le Cameroun et le Congo lancent leurs propres plateformes industrielles numériques — le Gabon ne peut rester en retrait</w:t>
      </w:r>
    </w:p>
    <w:p>
      <w:r>
        <w:br w:type="page"/>
      </w:r>
    </w:p>
    <w:p>
      <w:pPr>
        <w:keepNext/>
        <w:spacing w:before="360" w:after="120"/>
      </w:pPr>
      <w:r>
        <w:rPr>
          <w:b/>
          <w:color w:val="009440"/>
          <w:sz w:val="26"/>
        </w:rPr>
        <w:t>3. BENCHMARKS AFRICAINS DE RÉFÉRENCE</w:t>
      </w:r>
    </w:p>
    <w:p>
      <w:pPr>
        <w:spacing w:before="80" w:after="80"/>
        <w:pBdr>
          <w:bottom w:val="single" w:sz="8" w:space="1" w:color="009440"/>
        </w:pBdr>
      </w:pPr>
    </w:p>
    <w:p>
      <w:pPr>
        <w:spacing w:before="40" w:after="160"/>
        <w:jc w:val="left"/>
      </w:pPr>
      <w:r>
        <w:rPr>
          <w:b w:val="0"/>
        </w:rPr>
        <w:t>Les pays ci-dessous ont réalisé des transformations comparables au PNPI dans des contextes similaires. Leur expérience démontre la faisabilité et le retour sur investissement.</w:t>
      </w:r>
    </w:p>
    <w:p>
      <w:pPr>
        <w:spacing w:before="200"/>
      </w:pPr>
      <w:r>
        <w:rPr>
          <w:b/>
          <w:color w:val="FFFFFF"/>
          <w:sz w:val="22"/>
        </w:rPr>
        <w:t xml:space="preserve">  Rwanda — Irembo  </w:t>
      </w:r>
    </w:p>
    <w:tbl>
      <w:tblPr>
        <w:tblW w:type="auto" w:w="0"/>
        <w:jc w:val="left"/>
        <w:tblLook w:firstColumn="1" w:firstRow="1" w:lastColumn="0" w:lastRow="0" w:noHBand="0" w:noVBand="1" w:val="04A0"/>
      </w:tblPr>
      <w:tblGrid>
        <w:gridCol w:w="4536"/>
        <w:gridCol w:w="4536"/>
      </w:tblGrid>
      <w:tr>
        <w:tc>
          <w:tcPr>
            <w:tcW w:type="dxa" w:w="5102"/>
            <w:shd w:val="clear" w:color="auto" w:fill="003F8F"/>
          </w:tcPr>
          <w:p>
            <w:pPr>
              <w:spacing w:before="80" w:after="80"/>
            </w:pPr>
            <w:r>
              <w:rPr>
                <w:b/>
                <w:color w:val="FFFFFF"/>
                <w:sz w:val="22"/>
              </w:rPr>
              <w:t>Rwanda — Irembo</w:t>
            </w:r>
          </w:p>
        </w:tc>
        <w:tc>
          <w:tcPr>
            <w:tcW w:type="dxa" w:w="3685"/>
            <w:shd w:val="clear" w:color="auto" w:fill="F4F4F4"/>
          </w:tcPr>
          <w:p>
            <w:pPr>
              <w:spacing w:before="80"/>
              <w:jc w:val="center"/>
            </w:pPr>
            <w:r>
              <w:rPr>
                <w:b/>
                <w:color w:val="003F8F"/>
                <w:sz w:val="17"/>
              </w:rPr>
              <w:t>RÉFÉRENCE ABSOLUE</w:t>
            </w:r>
          </w:p>
        </w:tc>
      </w:tr>
    </w:tbl>
    <w:p>
      <w:pPr>
        <w:pStyle w:val="ListBullet"/>
        <w:spacing w:before="20" w:after="60"/>
        <w:ind w:left="283"/>
      </w:pPr>
      <w:r>
        <w:t>100+ services gouvernementaux intégrés</w:t>
      </w:r>
    </w:p>
    <w:p>
      <w:pPr>
        <w:pStyle w:val="ListBullet"/>
        <w:spacing w:before="20" w:after="60"/>
        <w:ind w:left="283"/>
      </w:pPr>
      <w:r>
        <w:t>Délai agrément industriel : 28 jours → 3 jours</w:t>
      </w:r>
    </w:p>
    <w:p>
      <w:pPr>
        <w:pStyle w:val="ListBullet"/>
        <w:spacing w:before="20" w:after="60"/>
        <w:ind w:left="283"/>
      </w:pPr>
      <w:r>
        <w:t>Satisfaction usagers : 95%</w:t>
      </w:r>
    </w:p>
    <w:p>
      <w:pPr>
        <w:pStyle w:val="ListBullet"/>
        <w:spacing w:before="20" w:after="60"/>
        <w:ind w:left="283"/>
      </w:pPr>
      <w:r>
        <w:t>Réduction coûts administratifs : 40%</w:t>
      </w:r>
    </w:p>
    <w:p>
      <w:pPr>
        <w:pStyle w:val="ListBullet"/>
        <w:spacing w:before="20" w:after="60"/>
        <w:ind w:left="283"/>
      </w:pPr>
      <w:r>
        <w:t>ROI atteint en 18 mois</w:t>
      </w:r>
    </w:p>
    <w:p>
      <w:pPr>
        <w:pStyle w:val="ListBullet"/>
        <w:spacing w:before="20" w:after="60"/>
        <w:ind w:left="283"/>
      </w:pPr>
      <w:r>
        <w:t>Budget : ~1,5 Mds FCFA</w:t>
      </w:r>
    </w:p>
    <w:p>
      <w:pPr>
        <w:pStyle w:val="ListBullet"/>
        <w:spacing w:before="20" w:after="60"/>
        <w:ind w:left="283"/>
      </w:pPr>
      <w:r>
        <w:t>Rang Doing Business : Top 40 africain</w:t>
      </w:r>
    </w:p>
    <w:tbl>
      <w:tblPr>
        <w:tblStyle w:val="TableGrid"/>
        <w:tblW w:type="auto" w:w="0"/>
        <w:tblLook w:firstColumn="1" w:firstRow="1" w:lastColumn="0" w:lastRow="0" w:noHBand="0" w:noVBand="1" w:val="04A0"/>
      </w:tblPr>
      <w:tblGrid>
        <w:gridCol w:w="9072"/>
      </w:tblGrid>
      <w:tr>
        <w:tc>
          <w:tcPr>
            <w:tcW w:type="dxa" w:w="9071"/>
            <w:shd w:val="clear" w:color="auto" w:fill="E8F4EC"/>
          </w:tcPr>
          <w:p>
            <w:pPr>
              <w:spacing w:before="80" w:after="80"/>
              <w:ind w:left="170"/>
            </w:pPr>
            <w:r>
              <w:rPr>
                <w:b w:val="0"/>
                <w:color w:val="1A1A2E"/>
                <w:sz w:val="20"/>
              </w:rPr>
              <w:t>Leçon pour le Gabon : Si le Rwanda, sans ressources naturelles, atteint le Top 40 grâce à la digitalisation, le Gabon peut atteindre le Top 20.</w:t>
            </w:r>
          </w:p>
        </w:tc>
      </w:tr>
    </w:tbl>
    <w:p/>
    <w:p>
      <w:pPr>
        <w:spacing w:before="200"/>
      </w:pPr>
      <w:r>
        <w:rPr>
          <w:b/>
          <w:color w:val="FFFFFF"/>
          <w:sz w:val="22"/>
        </w:rPr>
        <w:t xml:space="preserve">  Sénégal — APIX/CFE  </w:t>
      </w:r>
    </w:p>
    <w:tbl>
      <w:tblPr>
        <w:tblW w:type="auto" w:w="0"/>
        <w:jc w:val="left"/>
        <w:tblLook w:firstColumn="1" w:firstRow="1" w:lastColumn="0" w:lastRow="0" w:noHBand="0" w:noVBand="1" w:val="04A0"/>
      </w:tblPr>
      <w:tblGrid>
        <w:gridCol w:w="4536"/>
        <w:gridCol w:w="4536"/>
      </w:tblGrid>
      <w:tr>
        <w:tc>
          <w:tcPr>
            <w:tcW w:type="dxa" w:w="5102"/>
            <w:shd w:val="clear" w:color="auto" w:fill="009440"/>
          </w:tcPr>
          <w:p>
            <w:pPr>
              <w:spacing w:before="80" w:after="80"/>
            </w:pPr>
            <w:r>
              <w:rPr>
                <w:b/>
                <w:color w:val="FFFFFF"/>
                <w:sz w:val="22"/>
              </w:rPr>
              <w:t>Sénégal — APIX/CFE</w:t>
            </w:r>
          </w:p>
        </w:tc>
        <w:tc>
          <w:tcPr>
            <w:tcW w:type="dxa" w:w="3685"/>
            <w:shd w:val="clear" w:color="auto" w:fill="F4F4F4"/>
          </w:tcPr>
          <w:p>
            <w:pPr>
              <w:spacing w:before="80"/>
              <w:jc w:val="center"/>
            </w:pPr>
            <w:r>
              <w:rPr>
                <w:b/>
                <w:color w:val="009440"/>
                <w:sz w:val="17"/>
              </w:rPr>
              <w:t>MODÈLE FRANCOPHONE</w:t>
            </w:r>
          </w:p>
        </w:tc>
      </w:tr>
    </w:tbl>
    <w:p>
      <w:pPr>
        <w:pStyle w:val="ListBullet"/>
        <w:spacing w:before="20" w:after="60"/>
        <w:ind w:left="283"/>
      </w:pPr>
      <w:r>
        <w:t>Contexte administratif francophone identique au Gabon</w:t>
      </w:r>
    </w:p>
    <w:p>
      <w:pPr>
        <w:pStyle w:val="ListBullet"/>
        <w:spacing w:before="20" w:after="60"/>
        <w:ind w:left="283"/>
      </w:pPr>
      <w:r>
        <w:t>Création d'entreprise : 58 jours → 1 jour</w:t>
      </w:r>
    </w:p>
    <w:p>
      <w:pPr>
        <w:pStyle w:val="ListBullet"/>
        <w:spacing w:before="20" w:after="60"/>
        <w:ind w:left="283"/>
      </w:pPr>
      <w:r>
        <w:t>Budget comparable : ~800 M FCFA</w:t>
      </w:r>
    </w:p>
    <w:p>
      <w:pPr>
        <w:pStyle w:val="ListBullet"/>
        <w:spacing w:before="20" w:after="60"/>
        <w:ind w:left="283"/>
      </w:pPr>
      <w:r>
        <w:t>Déploiement en 14 mois</w:t>
      </w:r>
    </w:p>
    <w:p>
      <w:pPr>
        <w:pStyle w:val="ListBullet"/>
        <w:spacing w:before="20" w:after="60"/>
        <w:ind w:left="283"/>
      </w:pPr>
      <w:r>
        <w:t>Agréments industriels intégrés dans le Plan Sénégal Émergent</w:t>
      </w:r>
    </w:p>
    <w:tbl>
      <w:tblPr>
        <w:tblStyle w:val="TableGrid"/>
        <w:tblW w:type="auto" w:w="0"/>
        <w:tblLook w:firstColumn="1" w:firstRow="1" w:lastColumn="0" w:lastRow="0" w:noHBand="0" w:noVBand="1" w:val="04A0"/>
      </w:tblPr>
      <w:tblGrid>
        <w:gridCol w:w="9072"/>
      </w:tblGrid>
      <w:tr>
        <w:tc>
          <w:tcPr>
            <w:tcW w:type="dxa" w:w="9071"/>
            <w:shd w:val="clear" w:color="auto" w:fill="E8F4EC"/>
          </w:tcPr>
          <w:p>
            <w:pPr>
              <w:spacing w:before="80" w:after="80"/>
              <w:ind w:left="170"/>
            </w:pPr>
            <w:r>
              <w:rPr>
                <w:b w:val="0"/>
                <w:color w:val="1A1A2E"/>
                <w:sz w:val="20"/>
              </w:rPr>
              <w:t>Leçon pour le Gabon : Un système équivalent au PNPI peut être opérationnel en 14 mois dans un contexte administratif francophone identique.</w:t>
            </w:r>
          </w:p>
        </w:tc>
      </w:tr>
    </w:tbl>
    <w:p/>
    <w:p>
      <w:pPr>
        <w:spacing w:before="200"/>
      </w:pPr>
      <w:r>
        <w:rPr>
          <w:b/>
          <w:color w:val="FFFFFF"/>
          <w:sz w:val="22"/>
        </w:rPr>
        <w:t xml:space="preserve">  Maroc — CRI Digital  </w:t>
      </w:r>
    </w:p>
    <w:tbl>
      <w:tblPr>
        <w:tblW w:type="auto" w:w="0"/>
        <w:jc w:val="left"/>
        <w:tblLook w:firstColumn="1" w:firstRow="1" w:lastColumn="0" w:lastRow="0" w:noHBand="0" w:noVBand="1" w:val="04A0"/>
      </w:tblPr>
      <w:tblGrid>
        <w:gridCol w:w="4536"/>
        <w:gridCol w:w="4536"/>
      </w:tblGrid>
      <w:tr>
        <w:tc>
          <w:tcPr>
            <w:tcW w:type="dxa" w:w="5102"/>
            <w:shd w:val="clear" w:color="auto" w:fill="1A2E6F"/>
          </w:tcPr>
          <w:p>
            <w:pPr>
              <w:spacing w:before="80" w:after="80"/>
            </w:pPr>
            <w:r>
              <w:rPr>
                <w:b/>
                <w:color w:val="FFFFFF"/>
                <w:sz w:val="22"/>
              </w:rPr>
              <w:t>Maroc — CRI Digital</w:t>
            </w:r>
          </w:p>
        </w:tc>
        <w:tc>
          <w:tcPr>
            <w:tcW w:type="dxa" w:w="3685"/>
            <w:shd w:val="clear" w:color="auto" w:fill="F4F4F4"/>
          </w:tcPr>
          <w:p>
            <w:pPr>
              <w:spacing w:before="80"/>
              <w:jc w:val="center"/>
            </w:pPr>
            <w:r>
              <w:rPr>
                <w:b/>
                <w:color w:val="1A2E6F"/>
                <w:sz w:val="17"/>
              </w:rPr>
              <w:t>RÉFÉRENCE INTEROPÉRABILITÉ</w:t>
            </w:r>
          </w:p>
        </w:tc>
      </w:tr>
    </w:tbl>
    <w:p>
      <w:pPr>
        <w:pStyle w:val="ListBullet"/>
        <w:spacing w:before="20" w:after="60"/>
        <w:ind w:left="283"/>
      </w:pPr>
      <w:r>
        <w:t>Interopérabilité avec 17 administrations en temps réel</w:t>
      </w:r>
    </w:p>
    <w:p>
      <w:pPr>
        <w:pStyle w:val="ListBullet"/>
        <w:spacing w:before="20" w:after="60"/>
        <w:ind w:left="283"/>
      </w:pPr>
      <w:r>
        <w:t>Zone industrielle : 18 mois → 4 mois de procédures</w:t>
      </w:r>
    </w:p>
    <w:p>
      <w:pPr>
        <w:pStyle w:val="ListBullet"/>
        <w:spacing w:before="20" w:after="60"/>
        <w:ind w:left="283"/>
      </w:pPr>
      <w:r>
        <w:t>API gouvernementale : Industrie + DGI + Douanes + Cadastre</w:t>
      </w:r>
    </w:p>
    <w:p>
      <w:pPr>
        <w:pStyle w:val="ListBullet"/>
        <w:spacing w:before="20" w:after="60"/>
        <w:ind w:left="283"/>
      </w:pPr>
      <w:r>
        <w:t>Certification industrielle 100% en ligne</w:t>
      </w:r>
    </w:p>
    <w:tbl>
      <w:tblPr>
        <w:tblStyle w:val="TableGrid"/>
        <w:tblW w:type="auto" w:w="0"/>
        <w:tblLook w:firstColumn="1" w:firstRow="1" w:lastColumn="0" w:lastRow="0" w:noHBand="0" w:noVBand="1" w:val="04A0"/>
      </w:tblPr>
      <w:tblGrid>
        <w:gridCol w:w="9072"/>
      </w:tblGrid>
      <w:tr>
        <w:tc>
          <w:tcPr>
            <w:tcW w:type="dxa" w:w="9071"/>
            <w:shd w:val="clear" w:color="auto" w:fill="E8F4EC"/>
          </w:tcPr>
          <w:p>
            <w:pPr>
              <w:spacing w:before="80" w:after="80"/>
              <w:ind w:left="170"/>
            </w:pPr>
            <w:r>
              <w:rPr>
                <w:b w:val="0"/>
                <w:color w:val="1A1A2E"/>
                <w:sz w:val="20"/>
              </w:rPr>
              <w:t>Leçon pour le Gabon : L'interopérabilité n'est pas une promesse lointaine. Le Maroc l'a réalisée en 3 ans. Le PNPI pose les fondations pour que le Gabon suive ce chemin.</w:t>
            </w:r>
          </w:p>
        </w:tc>
      </w:tr>
    </w:tbl>
    <w:p/>
    <w:p>
      <w:pPr>
        <w:keepNext/>
        <w:spacing w:before="240" w:after="80"/>
      </w:pPr>
      <w:r>
        <w:rPr>
          <w:b/>
          <w:color w:val="003F8F"/>
          <w:sz w:val="22"/>
        </w:rPr>
        <w:t>Tableau comparatif synthétique</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1701"/>
            <w:shd w:val="clear" w:color="auto" w:fill="009440"/>
          </w:tcPr>
          <w:p>
            <w:pPr>
              <w:spacing w:before="60" w:after="60"/>
              <w:jc w:val="center"/>
            </w:pPr>
            <w:r>
              <w:rPr>
                <w:b/>
                <w:color w:val="FFFFFF"/>
                <w:sz w:val="18"/>
              </w:rPr>
              <w:t>Pays</w:t>
            </w:r>
          </w:p>
        </w:tc>
        <w:tc>
          <w:tcPr>
            <w:tcW w:type="dxa" w:w="1701"/>
            <w:shd w:val="clear" w:color="auto" w:fill="009440"/>
          </w:tcPr>
          <w:p>
            <w:pPr>
              <w:spacing w:before="60" w:after="60"/>
              <w:jc w:val="center"/>
            </w:pPr>
            <w:r>
              <w:rPr>
                <w:b/>
                <w:color w:val="FFFFFF"/>
                <w:sz w:val="18"/>
              </w:rPr>
              <w:t>Plateforme</w:t>
            </w:r>
          </w:p>
        </w:tc>
        <w:tc>
          <w:tcPr>
            <w:tcW w:type="dxa" w:w="1984"/>
            <w:shd w:val="clear" w:color="auto" w:fill="009440"/>
          </w:tcPr>
          <w:p>
            <w:pPr>
              <w:spacing w:before="60" w:after="60"/>
              <w:jc w:val="center"/>
            </w:pPr>
            <w:r>
              <w:rPr>
                <w:b/>
                <w:color w:val="FFFFFF"/>
                <w:sz w:val="18"/>
              </w:rPr>
              <w:t>Budget</w:t>
            </w:r>
          </w:p>
        </w:tc>
        <w:tc>
          <w:tcPr>
            <w:tcW w:type="dxa" w:w="1417"/>
            <w:shd w:val="clear" w:color="auto" w:fill="009440"/>
          </w:tcPr>
          <w:p>
            <w:pPr>
              <w:spacing w:before="60" w:after="60"/>
              <w:jc w:val="center"/>
            </w:pPr>
            <w:r>
              <w:rPr>
                <w:b/>
                <w:color w:val="FFFFFF"/>
                <w:sz w:val="18"/>
              </w:rPr>
              <w:t>Délai</w:t>
            </w:r>
          </w:p>
        </w:tc>
        <w:tc>
          <w:tcPr>
            <w:tcW w:type="dxa" w:w="2268"/>
            <w:shd w:val="clear" w:color="auto" w:fill="009440"/>
          </w:tcPr>
          <w:p>
            <w:pPr>
              <w:spacing w:before="60" w:after="60"/>
              <w:jc w:val="center"/>
            </w:pPr>
            <w:r>
              <w:rPr>
                <w:b/>
                <w:color w:val="FFFFFF"/>
                <w:sz w:val="18"/>
              </w:rPr>
              <w:t>Impact mesuré</w:t>
            </w:r>
          </w:p>
        </w:tc>
      </w:tr>
      <w:tr>
        <w:tc>
          <w:tcPr>
            <w:tcW w:type="dxa" w:w="1701"/>
            <w:shd w:val="clear" w:color="auto" w:fill="FFFFFF"/>
          </w:tcPr>
          <w:p>
            <w:pPr>
              <w:spacing w:before="40" w:after="40"/>
            </w:pPr>
            <w:r>
              <w:rPr>
                <w:b/>
                <w:sz w:val="18"/>
              </w:rPr>
              <w:t>Rwanda</w:t>
            </w:r>
          </w:p>
        </w:tc>
        <w:tc>
          <w:tcPr>
            <w:tcW w:type="dxa" w:w="1701"/>
            <w:shd w:val="clear" w:color="auto" w:fill="FFFFFF"/>
          </w:tcPr>
          <w:p>
            <w:pPr>
              <w:spacing w:before="40" w:after="40"/>
            </w:pPr>
            <w:r>
              <w:rPr>
                <w:sz w:val="18"/>
              </w:rPr>
              <w:t>Irembo</w:t>
            </w:r>
          </w:p>
        </w:tc>
        <w:tc>
          <w:tcPr>
            <w:tcW w:type="dxa" w:w="1984"/>
            <w:shd w:val="clear" w:color="auto" w:fill="FFFFFF"/>
          </w:tcPr>
          <w:p>
            <w:pPr>
              <w:spacing w:before="40" w:after="40"/>
            </w:pPr>
            <w:r>
              <w:rPr>
                <w:sz w:val="18"/>
              </w:rPr>
              <w:t>1,5 Mds FCFA</w:t>
            </w:r>
          </w:p>
        </w:tc>
        <w:tc>
          <w:tcPr>
            <w:tcW w:type="dxa" w:w="1417"/>
            <w:shd w:val="clear" w:color="auto" w:fill="FFFFFF"/>
          </w:tcPr>
          <w:p>
            <w:pPr>
              <w:spacing w:before="40" w:after="40"/>
            </w:pPr>
            <w:r>
              <w:rPr>
                <w:sz w:val="18"/>
              </w:rPr>
              <w:t>24 mois</w:t>
            </w:r>
          </w:p>
        </w:tc>
        <w:tc>
          <w:tcPr>
            <w:tcW w:type="dxa" w:w="2268"/>
            <w:shd w:val="clear" w:color="auto" w:fill="FFFFFF"/>
          </w:tcPr>
          <w:p>
            <w:pPr>
              <w:spacing w:before="40" w:after="40"/>
            </w:pPr>
            <w:r>
              <w:rPr>
                <w:sz w:val="18"/>
              </w:rPr>
              <w:t>Délai industriel : 28j→3j</w:t>
            </w:r>
          </w:p>
        </w:tc>
      </w:tr>
      <w:tr>
        <w:tc>
          <w:tcPr>
            <w:tcW w:type="dxa" w:w="1701"/>
            <w:shd w:val="clear" w:color="auto" w:fill="F4F7FB"/>
          </w:tcPr>
          <w:p>
            <w:pPr>
              <w:spacing w:before="40" w:after="40"/>
            </w:pPr>
            <w:r>
              <w:rPr>
                <w:b/>
                <w:sz w:val="18"/>
              </w:rPr>
              <w:t>Sénégal</w:t>
            </w:r>
          </w:p>
        </w:tc>
        <w:tc>
          <w:tcPr>
            <w:tcW w:type="dxa" w:w="1701"/>
            <w:shd w:val="clear" w:color="auto" w:fill="F4F7FB"/>
          </w:tcPr>
          <w:p>
            <w:pPr>
              <w:spacing w:before="40" w:after="40"/>
            </w:pPr>
            <w:r>
              <w:rPr>
                <w:sz w:val="18"/>
              </w:rPr>
              <w:t>APIX/CFE</w:t>
            </w:r>
          </w:p>
        </w:tc>
        <w:tc>
          <w:tcPr>
            <w:tcW w:type="dxa" w:w="1984"/>
            <w:shd w:val="clear" w:color="auto" w:fill="F4F7FB"/>
          </w:tcPr>
          <w:p>
            <w:pPr>
              <w:spacing w:before="40" w:after="40"/>
            </w:pPr>
            <w:r>
              <w:rPr>
                <w:sz w:val="18"/>
              </w:rPr>
              <w:t>~800 M FCFA</w:t>
            </w:r>
          </w:p>
        </w:tc>
        <w:tc>
          <w:tcPr>
            <w:tcW w:type="dxa" w:w="1417"/>
            <w:shd w:val="clear" w:color="auto" w:fill="F4F7FB"/>
          </w:tcPr>
          <w:p>
            <w:pPr>
              <w:spacing w:before="40" w:after="40"/>
            </w:pPr>
            <w:r>
              <w:rPr>
                <w:sz w:val="18"/>
              </w:rPr>
              <w:t>14 mois</w:t>
            </w:r>
          </w:p>
        </w:tc>
        <w:tc>
          <w:tcPr>
            <w:tcW w:type="dxa" w:w="2268"/>
            <w:shd w:val="clear" w:color="auto" w:fill="F4F7FB"/>
          </w:tcPr>
          <w:p>
            <w:pPr>
              <w:spacing w:before="40" w:after="40"/>
            </w:pPr>
            <w:r>
              <w:rPr>
                <w:sz w:val="18"/>
              </w:rPr>
              <w:t>Création ent. : 58j→1j</w:t>
            </w:r>
          </w:p>
        </w:tc>
      </w:tr>
      <w:tr>
        <w:tc>
          <w:tcPr>
            <w:tcW w:type="dxa" w:w="1701"/>
            <w:shd w:val="clear" w:color="auto" w:fill="FFFFFF"/>
          </w:tcPr>
          <w:p>
            <w:pPr>
              <w:spacing w:before="40" w:after="40"/>
            </w:pPr>
            <w:r>
              <w:rPr>
                <w:b/>
                <w:sz w:val="18"/>
              </w:rPr>
              <w:t>Maroc</w:t>
            </w:r>
          </w:p>
        </w:tc>
        <w:tc>
          <w:tcPr>
            <w:tcW w:type="dxa" w:w="1701"/>
            <w:shd w:val="clear" w:color="auto" w:fill="FFFFFF"/>
          </w:tcPr>
          <w:p>
            <w:pPr>
              <w:spacing w:before="40" w:after="40"/>
            </w:pPr>
            <w:r>
              <w:rPr>
                <w:sz w:val="18"/>
              </w:rPr>
              <w:t>CRI Digital</w:t>
            </w:r>
          </w:p>
        </w:tc>
        <w:tc>
          <w:tcPr>
            <w:tcW w:type="dxa" w:w="1984"/>
            <w:shd w:val="clear" w:color="auto" w:fill="FFFFFF"/>
          </w:tcPr>
          <w:p>
            <w:pPr>
              <w:spacing w:before="40" w:after="40"/>
            </w:pPr>
            <w:r>
              <w:rPr>
                <w:sz w:val="18"/>
              </w:rPr>
              <w:t>N.D.</w:t>
            </w:r>
          </w:p>
        </w:tc>
        <w:tc>
          <w:tcPr>
            <w:tcW w:type="dxa" w:w="1417"/>
            <w:shd w:val="clear" w:color="auto" w:fill="FFFFFF"/>
          </w:tcPr>
          <w:p>
            <w:pPr>
              <w:spacing w:before="40" w:after="40"/>
            </w:pPr>
            <w:r>
              <w:rPr>
                <w:sz w:val="18"/>
              </w:rPr>
              <w:t>36 mois</w:t>
            </w:r>
          </w:p>
        </w:tc>
        <w:tc>
          <w:tcPr>
            <w:tcW w:type="dxa" w:w="2268"/>
            <w:shd w:val="clear" w:color="auto" w:fill="FFFFFF"/>
          </w:tcPr>
          <w:p>
            <w:pPr>
              <w:spacing w:before="40" w:after="40"/>
            </w:pPr>
            <w:r>
              <w:rPr>
                <w:sz w:val="18"/>
              </w:rPr>
              <w:t>Zone ind. : 18m→4m</w:t>
            </w:r>
          </w:p>
        </w:tc>
      </w:tr>
      <w:tr>
        <w:tc>
          <w:tcPr>
            <w:tcW w:type="dxa" w:w="1701"/>
            <w:shd w:val="clear" w:color="auto" w:fill="F4F7FB"/>
          </w:tcPr>
          <w:p>
            <w:pPr>
              <w:spacing w:before="40" w:after="40"/>
            </w:pPr>
            <w:r>
              <w:rPr>
                <w:b/>
                <w:sz w:val="18"/>
              </w:rPr>
              <w:t>Côte d'Ivoire</w:t>
            </w:r>
          </w:p>
        </w:tc>
        <w:tc>
          <w:tcPr>
            <w:tcW w:type="dxa" w:w="1701"/>
            <w:shd w:val="clear" w:color="auto" w:fill="F4F7FB"/>
          </w:tcPr>
          <w:p>
            <w:pPr>
              <w:spacing w:before="40" w:after="40"/>
            </w:pPr>
            <w:r>
              <w:rPr>
                <w:sz w:val="18"/>
              </w:rPr>
              <w:t>CEPICI</w:t>
            </w:r>
          </w:p>
        </w:tc>
        <w:tc>
          <w:tcPr>
            <w:tcW w:type="dxa" w:w="1984"/>
            <w:shd w:val="clear" w:color="auto" w:fill="F4F7FB"/>
          </w:tcPr>
          <w:p>
            <w:pPr>
              <w:spacing w:before="40" w:after="40"/>
            </w:pPr>
            <w:r>
              <w:rPr>
                <w:sz w:val="18"/>
              </w:rPr>
              <w:t>N.D.</w:t>
            </w:r>
          </w:p>
        </w:tc>
        <w:tc>
          <w:tcPr>
            <w:tcW w:type="dxa" w:w="1417"/>
            <w:shd w:val="clear" w:color="auto" w:fill="F4F7FB"/>
          </w:tcPr>
          <w:p>
            <w:pPr>
              <w:spacing w:before="40" w:after="40"/>
            </w:pPr>
            <w:r>
              <w:rPr>
                <w:sz w:val="18"/>
              </w:rPr>
              <w:t>18 mois</w:t>
            </w:r>
          </w:p>
        </w:tc>
        <w:tc>
          <w:tcPr>
            <w:tcW w:type="dxa" w:w="2268"/>
            <w:shd w:val="clear" w:color="auto" w:fill="F4F7FB"/>
          </w:tcPr>
          <w:p>
            <w:pPr>
              <w:spacing w:before="40" w:after="40"/>
            </w:pPr>
            <w:r>
              <w:rPr>
                <w:sz w:val="18"/>
              </w:rPr>
              <w:t>–30% délai traitement</w:t>
            </w:r>
          </w:p>
        </w:tc>
      </w:tr>
      <w:tr>
        <w:tc>
          <w:tcPr>
            <w:tcW w:type="dxa" w:w="1701"/>
            <w:shd w:val="clear" w:color="auto" w:fill="FFFFFF"/>
          </w:tcPr>
          <w:p>
            <w:pPr>
              <w:spacing w:before="40" w:after="40"/>
            </w:pPr>
            <w:r>
              <w:rPr>
                <w:b/>
                <w:sz w:val="18"/>
              </w:rPr>
              <w:t>GABON (PNPI)</w:t>
            </w:r>
          </w:p>
        </w:tc>
        <w:tc>
          <w:tcPr>
            <w:tcW w:type="dxa" w:w="1701"/>
            <w:shd w:val="clear" w:color="auto" w:fill="FFFFFF"/>
          </w:tcPr>
          <w:p>
            <w:pPr>
              <w:spacing w:before="40" w:after="40"/>
            </w:pPr>
            <w:r>
              <w:rPr>
                <w:sz w:val="18"/>
              </w:rPr>
              <w:t>PNPI</w:t>
            </w:r>
          </w:p>
        </w:tc>
        <w:tc>
          <w:tcPr>
            <w:tcW w:type="dxa" w:w="1984"/>
            <w:shd w:val="clear" w:color="auto" w:fill="FFFFFF"/>
          </w:tcPr>
          <w:p>
            <w:pPr>
              <w:spacing w:before="40" w:after="40"/>
            </w:pPr>
            <w:r>
              <w:rPr>
                <w:sz w:val="18"/>
              </w:rPr>
              <w:t>340–360 M FCFA</w:t>
            </w:r>
          </w:p>
        </w:tc>
        <w:tc>
          <w:tcPr>
            <w:tcW w:type="dxa" w:w="1417"/>
            <w:shd w:val="clear" w:color="auto" w:fill="FFFFFF"/>
          </w:tcPr>
          <w:p>
            <w:pPr>
              <w:spacing w:before="40" w:after="40"/>
            </w:pPr>
            <w:r>
              <w:rPr>
                <w:sz w:val="18"/>
              </w:rPr>
              <w:t>12 mois</w:t>
            </w:r>
          </w:p>
        </w:tc>
        <w:tc>
          <w:tcPr>
            <w:tcW w:type="dxa" w:w="2268"/>
            <w:shd w:val="clear" w:color="auto" w:fill="FFFFFF"/>
          </w:tcPr>
          <w:p>
            <w:pPr>
              <w:spacing w:before="40" w:after="40"/>
            </w:pPr>
            <w:r>
              <w:rPr>
                <w:sz w:val="18"/>
              </w:rPr>
              <w:t>Cible : ATI 60j→15j</w:t>
            </w:r>
          </w:p>
        </w:tc>
      </w:tr>
    </w:tbl>
    <w:p/>
    <w:p>
      <w:r>
        <w:br w:type="page"/>
      </w:r>
    </w:p>
    <w:p>
      <w:pPr>
        <w:keepNext/>
        <w:spacing w:before="360" w:after="120"/>
      </w:pPr>
      <w:r>
        <w:rPr>
          <w:b/>
          <w:color w:val="009440"/>
          <w:sz w:val="26"/>
        </w:rPr>
        <w:t>4. OBJECTIFS</w:t>
      </w:r>
    </w:p>
    <w:p>
      <w:pPr>
        <w:spacing w:before="80" w:after="80"/>
        <w:pBdr>
          <w:bottom w:val="single" w:sz="8" w:space="1" w:color="009440"/>
        </w:pBdr>
      </w:pPr>
    </w:p>
    <w:p>
      <w:pPr>
        <w:keepNext/>
        <w:spacing w:before="240" w:after="80"/>
      </w:pPr>
      <w:r>
        <w:rPr>
          <w:b/>
          <w:color w:val="003F8F"/>
          <w:sz w:val="22"/>
        </w:rPr>
        <w:t>4.1 Objectif général</w:t>
      </w:r>
    </w:p>
    <w:p>
      <w:pPr>
        <w:spacing w:before="40" w:after="160"/>
        <w:jc w:val="left"/>
      </w:pPr>
      <w:r>
        <w:rPr>
          <w:b w:val="0"/>
        </w:rPr>
        <w:t>Mettre en place un système d'information industriel souverain, sécurisé et interopérable, permettant au Ministère de l'Industrie de piloter l'ensemble des processus d'agrément, de suivi et de conformité industrielle en temps réel, tout en offrant aux opérateurs économiques une expérience administrative de classe mondiale.</w:t>
      </w:r>
    </w:p>
    <w:p>
      <w:pPr>
        <w:keepNext/>
        <w:spacing w:before="240" w:after="80"/>
      </w:pPr>
      <w:r>
        <w:rPr>
          <w:b/>
          <w:color w:val="003F8F"/>
          <w:sz w:val="22"/>
        </w:rPr>
        <w:t>4.2 Objectifs spécifiques</w:t>
      </w:r>
    </w:p>
    <w:tbl>
      <w:tblPr>
        <w:tblStyle w:val="TableGrid"/>
        <w:tblW w:type="auto" w:w="0"/>
        <w:jc w:val="left"/>
        <w:tblLook w:firstColumn="1" w:firstRow="1" w:lastColumn="0" w:lastRow="0" w:noHBand="0" w:noVBand="1" w:val="04A0"/>
      </w:tblPr>
      <w:tblGrid>
        <w:gridCol w:w="3024"/>
        <w:gridCol w:w="3024"/>
        <w:gridCol w:w="3024"/>
      </w:tblGrid>
      <w:tr>
        <w:tc>
          <w:tcPr>
            <w:tcW w:type="dxa" w:w="567"/>
            <w:shd w:val="clear" w:color="auto" w:fill="003F8F"/>
          </w:tcPr>
          <w:p>
            <w:pPr>
              <w:spacing w:before="60" w:after="60"/>
              <w:jc w:val="center"/>
            </w:pPr>
            <w:r>
              <w:rPr>
                <w:b/>
                <w:color w:val="FFFFFF"/>
                <w:sz w:val="18"/>
              </w:rPr>
              <w:t>#</w:t>
            </w:r>
          </w:p>
        </w:tc>
        <w:tc>
          <w:tcPr>
            <w:tcW w:type="dxa" w:w="4819"/>
            <w:shd w:val="clear" w:color="auto" w:fill="003F8F"/>
          </w:tcPr>
          <w:p>
            <w:pPr>
              <w:spacing w:before="60" w:after="60"/>
              <w:jc w:val="center"/>
            </w:pPr>
            <w:r>
              <w:rPr>
                <w:b/>
                <w:color w:val="FFFFFF"/>
                <w:sz w:val="18"/>
              </w:rPr>
              <w:t>Objectif</w:t>
            </w:r>
          </w:p>
        </w:tc>
        <w:tc>
          <w:tcPr>
            <w:tcW w:type="dxa" w:w="3402"/>
            <w:shd w:val="clear" w:color="auto" w:fill="003F8F"/>
          </w:tcPr>
          <w:p>
            <w:pPr>
              <w:spacing w:before="60" w:after="60"/>
              <w:jc w:val="center"/>
            </w:pPr>
            <w:r>
              <w:rPr>
                <w:b/>
                <w:color w:val="FFFFFF"/>
                <w:sz w:val="18"/>
              </w:rPr>
              <w:t>Mesure de succès</w:t>
            </w:r>
          </w:p>
        </w:tc>
      </w:tr>
      <w:tr>
        <w:tc>
          <w:tcPr>
            <w:tcW w:type="dxa" w:w="567"/>
            <w:shd w:val="clear" w:color="auto" w:fill="FFFFFF"/>
          </w:tcPr>
          <w:p>
            <w:pPr>
              <w:spacing w:before="40" w:after="40"/>
            </w:pPr>
            <w:r>
              <w:rPr>
                <w:b/>
                <w:sz w:val="18"/>
              </w:rPr>
              <w:t>1</w:t>
            </w:r>
          </w:p>
        </w:tc>
        <w:tc>
          <w:tcPr>
            <w:tcW w:type="dxa" w:w="4819"/>
            <w:shd w:val="clear" w:color="auto" w:fill="FFFFFF"/>
          </w:tcPr>
          <w:p>
            <w:pPr>
              <w:spacing w:before="40" w:after="40"/>
            </w:pPr>
            <w:r>
              <w:rPr>
                <w:sz w:val="18"/>
              </w:rPr>
              <w:t>Dématérialiser 100% des démarches ATI et dossiers prioritaires</w:t>
            </w:r>
          </w:p>
        </w:tc>
        <w:tc>
          <w:tcPr>
            <w:tcW w:type="dxa" w:w="3402"/>
            <w:shd w:val="clear" w:color="auto" w:fill="FFFFFF"/>
          </w:tcPr>
          <w:p>
            <w:pPr>
              <w:spacing w:before="40" w:after="40"/>
            </w:pPr>
            <w:r>
              <w:rPr>
                <w:sz w:val="18"/>
              </w:rPr>
              <w:t>0 dossier traité hors plateforme à M12</w:t>
            </w:r>
          </w:p>
        </w:tc>
      </w:tr>
      <w:tr>
        <w:tc>
          <w:tcPr>
            <w:tcW w:type="dxa" w:w="567"/>
            <w:shd w:val="clear" w:color="auto" w:fill="F4F7FB"/>
          </w:tcPr>
          <w:p>
            <w:pPr>
              <w:spacing w:before="40" w:after="40"/>
            </w:pPr>
            <w:r>
              <w:rPr>
                <w:b/>
                <w:sz w:val="18"/>
              </w:rPr>
              <w:t>2</w:t>
            </w:r>
          </w:p>
        </w:tc>
        <w:tc>
          <w:tcPr>
            <w:tcW w:type="dxa" w:w="4819"/>
            <w:shd w:val="clear" w:color="auto" w:fill="F4F7FB"/>
          </w:tcPr>
          <w:p>
            <w:pPr>
              <w:spacing w:before="40" w:after="40"/>
            </w:pPr>
            <w:r>
              <w:rPr>
                <w:sz w:val="18"/>
              </w:rPr>
              <w:t>Réduire le délai ATI de 60 à &lt; 15 jours</w:t>
            </w:r>
          </w:p>
        </w:tc>
        <w:tc>
          <w:tcPr>
            <w:tcW w:type="dxa" w:w="3402"/>
            <w:shd w:val="clear" w:color="auto" w:fill="F4F7FB"/>
          </w:tcPr>
          <w:p>
            <w:pPr>
              <w:spacing w:before="40" w:after="40"/>
            </w:pPr>
            <w:r>
              <w:rPr>
                <w:sz w:val="18"/>
              </w:rPr>
              <w:t>Délai mesuré mensuellement sur le dashboard</w:t>
            </w:r>
          </w:p>
        </w:tc>
      </w:tr>
      <w:tr>
        <w:tc>
          <w:tcPr>
            <w:tcW w:type="dxa" w:w="567"/>
            <w:shd w:val="clear" w:color="auto" w:fill="FFFFFF"/>
          </w:tcPr>
          <w:p>
            <w:pPr>
              <w:spacing w:before="40" w:after="40"/>
            </w:pPr>
            <w:r>
              <w:rPr>
                <w:b/>
                <w:sz w:val="18"/>
              </w:rPr>
              <w:t>3</w:t>
            </w:r>
          </w:p>
        </w:tc>
        <w:tc>
          <w:tcPr>
            <w:tcW w:type="dxa" w:w="4819"/>
            <w:shd w:val="clear" w:color="auto" w:fill="FFFFFF"/>
          </w:tcPr>
          <w:p>
            <w:pPr>
              <w:spacing w:before="40" w:after="40"/>
            </w:pPr>
            <w:r>
              <w:rPr>
                <w:sz w:val="18"/>
              </w:rPr>
              <w:t>Atteindre &gt; 80% de dossiers complets au 1er dépôt</w:t>
            </w:r>
          </w:p>
        </w:tc>
        <w:tc>
          <w:tcPr>
            <w:tcW w:type="dxa" w:w="3402"/>
            <w:shd w:val="clear" w:color="auto" w:fill="FFFFFF"/>
          </w:tcPr>
          <w:p>
            <w:pPr>
              <w:spacing w:before="40" w:after="40"/>
            </w:pPr>
            <w:r>
              <w:rPr>
                <w:sz w:val="18"/>
              </w:rPr>
              <w:t>Taux calculé automatiquement</w:t>
            </w:r>
          </w:p>
        </w:tc>
      </w:tr>
      <w:tr>
        <w:tc>
          <w:tcPr>
            <w:tcW w:type="dxa" w:w="567"/>
            <w:shd w:val="clear" w:color="auto" w:fill="F4F7FB"/>
          </w:tcPr>
          <w:p>
            <w:pPr>
              <w:spacing w:before="40" w:after="40"/>
            </w:pPr>
            <w:r>
              <w:rPr>
                <w:b/>
                <w:sz w:val="18"/>
              </w:rPr>
              <w:t>4</w:t>
            </w:r>
          </w:p>
        </w:tc>
        <w:tc>
          <w:tcPr>
            <w:tcW w:type="dxa" w:w="4819"/>
            <w:shd w:val="clear" w:color="auto" w:fill="F4F7FB"/>
          </w:tcPr>
          <w:p>
            <w:pPr>
              <w:spacing w:before="40" w:after="40"/>
            </w:pPr>
            <w:r>
              <w:rPr>
                <w:sz w:val="18"/>
              </w:rPr>
              <w:t>Fournir un tableau de bord temps réel au Ministre</w:t>
            </w:r>
          </w:p>
        </w:tc>
        <w:tc>
          <w:tcPr>
            <w:tcW w:type="dxa" w:w="3402"/>
            <w:shd w:val="clear" w:color="auto" w:fill="F4F7FB"/>
          </w:tcPr>
          <w:p>
            <w:pPr>
              <w:spacing w:before="40" w:after="40"/>
            </w:pPr>
            <w:r>
              <w:rPr>
                <w:sz w:val="18"/>
              </w:rPr>
              <w:t>Dashboard opérationnel dès M7</w:t>
            </w:r>
          </w:p>
        </w:tc>
      </w:tr>
      <w:tr>
        <w:tc>
          <w:tcPr>
            <w:tcW w:type="dxa" w:w="567"/>
            <w:shd w:val="clear" w:color="auto" w:fill="FFFFFF"/>
          </w:tcPr>
          <w:p>
            <w:pPr>
              <w:spacing w:before="40" w:after="40"/>
            </w:pPr>
            <w:r>
              <w:rPr>
                <w:b/>
                <w:sz w:val="18"/>
              </w:rPr>
              <w:t>5</w:t>
            </w:r>
          </w:p>
        </w:tc>
        <w:tc>
          <w:tcPr>
            <w:tcW w:type="dxa" w:w="4819"/>
            <w:shd w:val="clear" w:color="auto" w:fill="FFFFFF"/>
          </w:tcPr>
          <w:p>
            <w:pPr>
              <w:spacing w:before="40" w:after="40"/>
            </w:pPr>
            <w:r>
              <w:rPr>
                <w:sz w:val="18"/>
              </w:rPr>
              <w:t>Tracer 100% des actions sur les dossiers critiques</w:t>
            </w:r>
          </w:p>
        </w:tc>
        <w:tc>
          <w:tcPr>
            <w:tcW w:type="dxa" w:w="3402"/>
            <w:shd w:val="clear" w:color="auto" w:fill="FFFFFF"/>
          </w:tcPr>
          <w:p>
            <w:pPr>
              <w:spacing w:before="40" w:after="40"/>
            </w:pPr>
            <w:r>
              <w:rPr>
                <w:sz w:val="18"/>
              </w:rPr>
              <w:t>Audit log exhaustif dès J1</w:t>
            </w:r>
          </w:p>
        </w:tc>
      </w:tr>
      <w:tr>
        <w:tc>
          <w:tcPr>
            <w:tcW w:type="dxa" w:w="567"/>
            <w:shd w:val="clear" w:color="auto" w:fill="F4F7FB"/>
          </w:tcPr>
          <w:p>
            <w:pPr>
              <w:spacing w:before="40" w:after="40"/>
            </w:pPr>
            <w:r>
              <w:rPr>
                <w:b/>
                <w:sz w:val="18"/>
              </w:rPr>
              <w:t>6</w:t>
            </w:r>
          </w:p>
        </w:tc>
        <w:tc>
          <w:tcPr>
            <w:tcW w:type="dxa" w:w="4819"/>
            <w:shd w:val="clear" w:color="auto" w:fill="F4F7FB"/>
          </w:tcPr>
          <w:p>
            <w:pPr>
              <w:spacing w:before="40" w:after="40"/>
            </w:pPr>
            <w:r>
              <w:rPr>
                <w:sz w:val="18"/>
              </w:rPr>
              <w:t>Constituer le Dossier Industriel Unique (DIU)</w:t>
            </w:r>
          </w:p>
        </w:tc>
        <w:tc>
          <w:tcPr>
            <w:tcW w:type="dxa" w:w="3402"/>
            <w:shd w:val="clear" w:color="auto" w:fill="F4F7FB"/>
          </w:tcPr>
          <w:p>
            <w:pPr>
              <w:spacing w:before="40" w:after="40"/>
            </w:pPr>
            <w:r>
              <w:rPr>
                <w:sz w:val="18"/>
              </w:rPr>
              <w:t>Registre complet à M12</w:t>
            </w:r>
          </w:p>
        </w:tc>
      </w:tr>
      <w:tr>
        <w:tc>
          <w:tcPr>
            <w:tcW w:type="dxa" w:w="567"/>
            <w:shd w:val="clear" w:color="auto" w:fill="FFFFFF"/>
          </w:tcPr>
          <w:p>
            <w:pPr>
              <w:spacing w:before="40" w:after="40"/>
            </w:pPr>
            <w:r>
              <w:rPr>
                <w:b/>
                <w:sz w:val="18"/>
              </w:rPr>
              <w:t>7</w:t>
            </w:r>
          </w:p>
        </w:tc>
        <w:tc>
          <w:tcPr>
            <w:tcW w:type="dxa" w:w="4819"/>
            <w:shd w:val="clear" w:color="auto" w:fill="FFFFFF"/>
          </w:tcPr>
          <w:p>
            <w:pPr>
              <w:spacing w:before="40" w:after="40"/>
            </w:pPr>
            <w:r>
              <w:rPr>
                <w:sz w:val="18"/>
              </w:rPr>
              <w:t>Préparer l'interopérabilité ANPI, DGI, Douanes</w:t>
            </w:r>
          </w:p>
        </w:tc>
        <w:tc>
          <w:tcPr>
            <w:tcW w:type="dxa" w:w="3402"/>
            <w:shd w:val="clear" w:color="auto" w:fill="FFFFFF"/>
          </w:tcPr>
          <w:p>
            <w:pPr>
              <w:spacing w:before="40" w:after="40"/>
            </w:pPr>
            <w:r>
              <w:rPr>
                <w:sz w:val="18"/>
              </w:rPr>
              <w:t>API Gateway avec stubs à M12</w:t>
            </w:r>
          </w:p>
        </w:tc>
      </w:tr>
      <w:tr>
        <w:tc>
          <w:tcPr>
            <w:tcW w:type="dxa" w:w="567"/>
            <w:shd w:val="clear" w:color="auto" w:fill="F4F7FB"/>
          </w:tcPr>
          <w:p>
            <w:pPr>
              <w:spacing w:before="40" w:after="40"/>
            </w:pPr>
            <w:r>
              <w:rPr>
                <w:b/>
                <w:sz w:val="18"/>
              </w:rPr>
              <w:t>8</w:t>
            </w:r>
          </w:p>
        </w:tc>
        <w:tc>
          <w:tcPr>
            <w:tcW w:type="dxa" w:w="4819"/>
            <w:shd w:val="clear" w:color="auto" w:fill="F4F7FB"/>
          </w:tcPr>
          <w:p>
            <w:pPr>
              <w:spacing w:before="40" w:after="40"/>
            </w:pPr>
            <w:r>
              <w:rPr>
                <w:sz w:val="18"/>
              </w:rPr>
              <w:t>Éliminer les contacts discrétionnaires</w:t>
            </w:r>
          </w:p>
        </w:tc>
        <w:tc>
          <w:tcPr>
            <w:tcW w:type="dxa" w:w="3402"/>
            <w:shd w:val="clear" w:color="auto" w:fill="F4F7FB"/>
          </w:tcPr>
          <w:p>
            <w:pPr>
              <w:spacing w:before="40" w:after="40"/>
            </w:pPr>
            <w:r>
              <w:rPr>
                <w:sz w:val="18"/>
              </w:rPr>
              <w:t>Zéro étape non tracée dans le workflow</w:t>
            </w:r>
          </w:p>
        </w:tc>
      </w:tr>
    </w:tbl>
    <w:p/>
    <w:p>
      <w:r>
        <w:br w:type="page"/>
      </w:r>
    </w:p>
    <w:p>
      <w:pPr>
        <w:keepNext/>
        <w:spacing w:before="360" w:after="120"/>
      </w:pPr>
      <w:r>
        <w:rPr>
          <w:b/>
          <w:color w:val="009440"/>
          <w:sz w:val="26"/>
        </w:rPr>
        <w:t>5. PÉRIMÈTRE PHASE 1 — MODULES DÉTAILLÉS</w:t>
      </w:r>
    </w:p>
    <w:p>
      <w:pPr>
        <w:spacing w:before="80" w:after="80"/>
        <w:pBdr>
          <w:bottom w:val="single" w:sz="8" w:space="1" w:color="009440"/>
        </w:pBdr>
      </w:pPr>
    </w:p>
    <w:tbl>
      <w:tblPr>
        <w:tblW w:type="auto" w:w="0"/>
        <w:jc w:val="left"/>
        <w:tblLook w:firstColumn="1" w:firstRow="1" w:lastColumn="0" w:lastRow="0" w:noHBand="0" w:noVBand="1" w:val="04A0"/>
      </w:tblPr>
      <w:tblGrid>
        <w:gridCol w:w="4536"/>
        <w:gridCol w:w="4536"/>
      </w:tblGrid>
      <w:tr>
        <w:tc>
          <w:tcPr>
            <w:tcW w:type="dxa" w:w="1417"/>
            <w:shd w:val="clear" w:color="auto" w:fill="003F8F"/>
          </w:tcPr>
          <w:p>
            <w:pPr>
              <w:spacing w:before="120"/>
              <w:jc w:val="center"/>
            </w:pPr>
            <w:r>
              <w:rPr>
                <w:b/>
                <w:color w:val="FFFFFF"/>
                <w:sz w:val="18"/>
              </w:rPr>
              <w:t>Module 1</w:t>
            </w:r>
          </w:p>
        </w:tc>
        <w:tc>
          <w:tcPr>
            <w:tcW w:type="dxa" w:w="7370"/>
            <w:shd w:val="clear" w:color="auto" w:fill="F4F7FB"/>
          </w:tcPr>
          <w:p>
            <w:pPr>
              <w:spacing w:before="80"/>
            </w:pPr>
            <w:r>
              <w:rPr>
                <w:b/>
                <w:color w:val="003F8F"/>
                <w:sz w:val="21"/>
              </w:rPr>
              <w:t>Guichet Numérique Unique Industriel</w:t>
            </w:r>
          </w:p>
        </w:tc>
      </w:tr>
    </w:tbl>
    <w:p>
      <w:pPr>
        <w:spacing w:before="80" w:after="60"/>
        <w:jc w:val="left"/>
      </w:pPr>
      <w:r>
        <w:rPr>
          <w:b w:val="0"/>
        </w:rPr>
        <w:t>Portail de dépôt et de suivi accessible aux opérateurs industriels via navigateur web et mobile.</w:t>
      </w:r>
    </w:p>
    <w:p>
      <w:pPr>
        <w:pStyle w:val="ListBullet"/>
        <w:spacing w:before="20" w:after="60"/>
        <w:ind w:left="283"/>
      </w:pPr>
      <w:r>
        <w:t>Création de compte opérateur avec vérification d'identité (NIFGABON, registre ANPI)</w:t>
      </w:r>
    </w:p>
    <w:p>
      <w:pPr>
        <w:pStyle w:val="ListBullet"/>
        <w:spacing w:before="20" w:after="60"/>
        <w:ind w:left="283"/>
      </w:pPr>
      <w:r>
        <w:t>Formulaires intelligents adaptés au type d'activité avec guidage pas à pas</w:t>
      </w:r>
    </w:p>
    <w:p>
      <w:pPr>
        <w:pStyle w:val="ListBullet"/>
        <w:spacing w:before="20" w:after="60"/>
        <w:ind w:left="283"/>
      </w:pPr>
      <w:r>
        <w:t>Vérification automatique de complétude en temps réel</w:t>
      </w:r>
    </w:p>
    <w:p>
      <w:pPr>
        <w:pStyle w:val="ListBullet"/>
        <w:spacing w:before="20" w:after="60"/>
        <w:ind w:left="283"/>
      </w:pPr>
      <w:r>
        <w:t>Numéro de dossier unique et accusé de réception électronique</w:t>
      </w:r>
    </w:p>
    <w:p>
      <w:pPr>
        <w:pStyle w:val="ListBullet"/>
        <w:spacing w:before="20" w:after="60"/>
        <w:ind w:left="283"/>
      </w:pPr>
      <w:r>
        <w:t>Suivi d'avancement par étape (tracking temps réel)</w:t>
      </w:r>
    </w:p>
    <w:p>
      <w:pPr>
        <w:pStyle w:val="ListBullet"/>
        <w:spacing w:before="20" w:after="60"/>
        <w:ind w:left="283"/>
      </w:pPr>
      <w:r>
        <w:t>Notifications automatiques par email et SMS</w:t>
      </w:r>
    </w:p>
    <w:p>
      <w:pPr>
        <w:pStyle w:val="ListBullet"/>
        <w:spacing w:before="20" w:after="60"/>
        <w:ind w:left="283"/>
      </w:pPr>
      <w:r>
        <w:t>Mode offline pour zones à connectivité limitée</w:t>
      </w:r>
    </w:p>
    <w:tbl>
      <w:tblPr>
        <w:tblStyle w:val="TableGrid"/>
        <w:tblW w:type="auto" w:w="0"/>
        <w:tblLook w:firstColumn="1" w:firstRow="1" w:lastColumn="0" w:lastRow="0" w:noHBand="0" w:noVBand="1" w:val="04A0"/>
      </w:tblPr>
      <w:tblGrid>
        <w:gridCol w:w="9072"/>
      </w:tblGrid>
      <w:tr>
        <w:tc>
          <w:tcPr>
            <w:tcW w:type="dxa" w:w="9071"/>
            <w:shd w:val="clear" w:color="auto" w:fill="EBF5FF"/>
          </w:tcPr>
          <w:p>
            <w:pPr>
              <w:spacing w:before="80" w:after="80"/>
              <w:ind w:left="170"/>
            </w:pPr>
            <w:r>
              <w:rPr>
                <w:b w:val="0"/>
                <w:color w:val="1A1A2E"/>
                <w:sz w:val="20"/>
              </w:rPr>
              <w:t>Valeur ajoutée : Un opérateur de Franceville ou Port-Gentil dépose son dossier sans se déplacer à Libreville. Le taux de dossiers incomplets passe de ~35% à &gt; 80%.</w:t>
            </w:r>
          </w:p>
        </w:tc>
      </w:tr>
    </w:tbl>
    <w:p/>
    <w:tbl>
      <w:tblPr>
        <w:tblW w:type="auto" w:w="0"/>
        <w:jc w:val="left"/>
        <w:tblLook w:firstColumn="1" w:firstRow="1" w:lastColumn="0" w:lastRow="0" w:noHBand="0" w:noVBand="1" w:val="04A0"/>
      </w:tblPr>
      <w:tblGrid>
        <w:gridCol w:w="4536"/>
        <w:gridCol w:w="4536"/>
      </w:tblGrid>
      <w:tr>
        <w:tc>
          <w:tcPr>
            <w:tcW w:type="dxa" w:w="1417"/>
            <w:shd w:val="clear" w:color="auto" w:fill="009440"/>
          </w:tcPr>
          <w:p>
            <w:pPr>
              <w:spacing w:before="120"/>
              <w:jc w:val="center"/>
            </w:pPr>
            <w:r>
              <w:rPr>
                <w:b/>
                <w:color w:val="FFFFFF"/>
                <w:sz w:val="18"/>
              </w:rPr>
              <w:t>Module 2</w:t>
            </w:r>
          </w:p>
        </w:tc>
        <w:tc>
          <w:tcPr>
            <w:tcW w:type="dxa" w:w="7370"/>
            <w:shd w:val="clear" w:color="auto" w:fill="F4F7FB"/>
          </w:tcPr>
          <w:p>
            <w:pPr>
              <w:spacing w:before="80"/>
            </w:pPr>
            <w:r>
              <w:rPr>
                <w:b/>
                <w:color w:val="009440"/>
                <w:sz w:val="21"/>
              </w:rPr>
              <w:t>Workflow d'Instruction et de Validation</w:t>
            </w:r>
          </w:p>
        </w:tc>
      </w:tr>
    </w:tbl>
    <w:p>
      <w:pPr>
        <w:spacing w:before="80" w:after="60"/>
        <w:jc w:val="left"/>
      </w:pPr>
      <w:r>
        <w:rPr>
          <w:b w:val="0"/>
        </w:rPr>
        <w:t>Cœur de la plateforme côté Ministère — circuit complet d'instruction d'un dossier.</w:t>
      </w:r>
    </w:p>
    <w:p>
      <w:pPr>
        <w:pStyle w:val="ListBullet"/>
        <w:spacing w:before="20" w:after="60"/>
        <w:ind w:left="283"/>
      </w:pPr>
      <w:r>
        <w:t>Attribution automatique des dossiers selon la charge de travail</w:t>
      </w:r>
    </w:p>
    <w:p>
      <w:pPr>
        <w:pStyle w:val="ListBullet"/>
        <w:spacing w:before="20" w:after="60"/>
        <w:ind w:left="283"/>
      </w:pPr>
      <w:r>
        <w:t>Séquençage : pré-instruction → technique → juridique → décision</w:t>
      </w:r>
    </w:p>
    <w:p>
      <w:pPr>
        <w:pStyle w:val="ListBullet"/>
        <w:spacing w:before="20" w:after="60"/>
        <w:ind w:left="283"/>
      </w:pPr>
      <w:r>
        <w:t>Délais réglementaires configurables par type de dossier (SLA)</w:t>
      </w:r>
    </w:p>
    <w:p>
      <w:pPr>
        <w:pStyle w:val="ListBullet"/>
        <w:spacing w:before="20" w:after="60"/>
        <w:ind w:left="283"/>
      </w:pPr>
      <w:r>
        <w:t>Alertes automatiques pour dossiers proches de la limite délai</w:t>
      </w:r>
    </w:p>
    <w:p>
      <w:pPr>
        <w:pStyle w:val="ListBullet"/>
        <w:spacing w:before="20" w:after="60"/>
        <w:ind w:left="283"/>
      </w:pPr>
      <w:r>
        <w:t>Escalade automatique au supérieur si délai dépassé</w:t>
      </w:r>
    </w:p>
    <w:p>
      <w:pPr>
        <w:pStyle w:val="ListBullet"/>
        <w:spacing w:before="20" w:after="60"/>
        <w:ind w:left="283"/>
      </w:pPr>
      <w:r>
        <w:t>Signature électronique multi-niveaux (agent → chef service → Directeur)</w:t>
      </w:r>
    </w:p>
    <w:p>
      <w:pPr>
        <w:pStyle w:val="ListBullet"/>
        <w:spacing w:before="20" w:after="60"/>
        <w:ind w:left="283"/>
      </w:pPr>
      <w:r>
        <w:t>Génération automatique des décisions en PDF signés</w:t>
      </w:r>
    </w:p>
    <w:tbl>
      <w:tblPr>
        <w:tblStyle w:val="TableGrid"/>
        <w:tblW w:type="auto" w:w="0"/>
        <w:tblLook w:firstColumn="1" w:firstRow="1" w:lastColumn="0" w:lastRow="0" w:noHBand="0" w:noVBand="1" w:val="04A0"/>
      </w:tblPr>
      <w:tblGrid>
        <w:gridCol w:w="9072"/>
      </w:tblGrid>
      <w:tr>
        <w:tc>
          <w:tcPr>
            <w:tcW w:type="dxa" w:w="9071"/>
            <w:shd w:val="clear" w:color="auto" w:fill="EBF5FF"/>
          </w:tcPr>
          <w:p>
            <w:pPr>
              <w:spacing w:before="80" w:after="80"/>
              <w:ind w:left="170"/>
            </w:pPr>
            <w:r>
              <w:rPr>
                <w:b w:val="0"/>
                <w:color w:val="1A1A2E"/>
                <w:sz w:val="20"/>
              </w:rPr>
              <w:t>Valeur ajoutée : Fin de l'arbitraire. Chaque dossier suit le même chemin dans les mêmes délais.</w:t>
            </w:r>
          </w:p>
        </w:tc>
      </w:tr>
    </w:tbl>
    <w:p/>
    <w:tbl>
      <w:tblPr>
        <w:tblW w:type="auto" w:w="0"/>
        <w:jc w:val="left"/>
        <w:tblLook w:firstColumn="1" w:firstRow="1" w:lastColumn="0" w:lastRow="0" w:noHBand="0" w:noVBand="1" w:val="04A0"/>
      </w:tblPr>
      <w:tblGrid>
        <w:gridCol w:w="4536"/>
        <w:gridCol w:w="4536"/>
      </w:tblGrid>
      <w:tr>
        <w:tc>
          <w:tcPr>
            <w:tcW w:type="dxa" w:w="1417"/>
            <w:shd w:val="clear" w:color="auto" w:fill="C0392B"/>
          </w:tcPr>
          <w:p>
            <w:pPr>
              <w:spacing w:before="120"/>
              <w:jc w:val="center"/>
            </w:pPr>
            <w:r>
              <w:rPr>
                <w:b/>
                <w:color w:val="FFFFFF"/>
                <w:sz w:val="18"/>
              </w:rPr>
              <w:t>Module 3</w:t>
            </w:r>
          </w:p>
        </w:tc>
        <w:tc>
          <w:tcPr>
            <w:tcW w:type="dxa" w:w="7370"/>
            <w:shd w:val="clear" w:color="auto" w:fill="F4F7FB"/>
          </w:tcPr>
          <w:p>
            <w:pPr>
              <w:spacing w:before="80"/>
            </w:pPr>
            <w:r>
              <w:rPr>
                <w:b/>
                <w:color w:val="C0392B"/>
                <w:sz w:val="21"/>
              </w:rPr>
              <w:t>Gestion des ATI (Agréments Techniques Industriels)</w:t>
            </w:r>
          </w:p>
        </w:tc>
      </w:tr>
    </w:tbl>
    <w:p>
      <w:pPr>
        <w:spacing w:before="80" w:after="60"/>
        <w:jc w:val="left"/>
      </w:pPr>
      <w:r>
        <w:rPr>
          <w:b w:val="0"/>
        </w:rPr>
        <w:t>Module spécialisé pour le processus ATI avec ses spécificités réglementaires.</w:t>
      </w:r>
    </w:p>
    <w:p>
      <w:pPr>
        <w:pStyle w:val="ListBullet"/>
        <w:spacing w:before="20" w:after="60"/>
        <w:ind w:left="283"/>
      </w:pPr>
      <w:r>
        <w:t>Formulaires ATI par secteur : bois/forêt, mines, agroalimentaire, BTP</w:t>
      </w:r>
    </w:p>
    <w:p>
      <w:pPr>
        <w:pStyle w:val="ListBullet"/>
        <w:spacing w:before="20" w:after="60"/>
        <w:ind w:left="283"/>
      </w:pPr>
      <w:r>
        <w:t>Vérification automatique de cohérence des données déclarées</w:t>
      </w:r>
    </w:p>
    <w:p>
      <w:pPr>
        <w:pStyle w:val="ListBullet"/>
        <w:spacing w:before="20" w:after="60"/>
        <w:ind w:left="283"/>
      </w:pPr>
      <w:r>
        <w:t>Circuit multi-niveaux (Direction Technique → Juridique → Secrétariat Général)</w:t>
      </w:r>
    </w:p>
    <w:p>
      <w:pPr>
        <w:pStyle w:val="ListBullet"/>
        <w:spacing w:before="20" w:after="60"/>
        <w:ind w:left="283"/>
      </w:pPr>
      <w:r>
        <w:t>Génération de l'ATI numérique avec QR code d'authenticité</w:t>
      </w:r>
    </w:p>
    <w:p>
      <w:pPr>
        <w:pStyle w:val="ListBullet"/>
        <w:spacing w:before="20" w:after="60"/>
        <w:ind w:left="283"/>
      </w:pPr>
      <w:r>
        <w:t>Registre public de vérification des ATI (banques, partenaires)</w:t>
      </w:r>
    </w:p>
    <w:p>
      <w:pPr>
        <w:pStyle w:val="ListBullet"/>
        <w:spacing w:before="20" w:after="60"/>
        <w:ind w:left="283"/>
      </w:pPr>
      <w:r>
        <w:t>Alertes de renouvellement automatiques (90/60/30 jours avant expiration)</w:t>
      </w:r>
    </w:p>
    <w:p>
      <w:pPr>
        <w:pStyle w:val="ListBullet"/>
        <w:spacing w:before="20" w:after="60"/>
        <w:ind w:left="283"/>
      </w:pPr>
      <w:r>
        <w:t>Historique complet (modifications, renouvellements, suspensions)</w:t>
      </w:r>
    </w:p>
    <w:tbl>
      <w:tblPr>
        <w:tblStyle w:val="TableGrid"/>
        <w:tblW w:type="auto" w:w="0"/>
        <w:tblLook w:firstColumn="1" w:firstRow="1" w:lastColumn="0" w:lastRow="0" w:noHBand="0" w:noVBand="1" w:val="04A0"/>
      </w:tblPr>
      <w:tblGrid>
        <w:gridCol w:w="9072"/>
      </w:tblGrid>
      <w:tr>
        <w:tc>
          <w:tcPr>
            <w:tcW w:type="dxa" w:w="9071"/>
            <w:shd w:val="clear" w:color="auto" w:fill="EBF5FF"/>
          </w:tcPr>
          <w:p>
            <w:pPr>
              <w:spacing w:before="80" w:after="80"/>
              <w:ind w:left="170"/>
            </w:pPr>
            <w:r>
              <w:rPr>
                <w:b w:val="0"/>
                <w:color w:val="1A1A2E"/>
                <w:sz w:val="20"/>
              </w:rPr>
              <w:t>Valeur ajoutée : Élimination de la falsification des ATI. Un QR code suffit pour vérifier l'authenticité.</w:t>
            </w:r>
          </w:p>
        </w:tc>
      </w:tr>
    </w:tbl>
    <w:p/>
    <w:tbl>
      <w:tblPr>
        <w:tblW w:type="auto" w:w="0"/>
        <w:jc w:val="left"/>
        <w:tblLook w:firstColumn="1" w:firstRow="1" w:lastColumn="0" w:lastRow="0" w:noHBand="0" w:noVBand="1" w:val="04A0"/>
      </w:tblPr>
      <w:tblGrid>
        <w:gridCol w:w="4536"/>
        <w:gridCol w:w="4536"/>
      </w:tblGrid>
      <w:tr>
        <w:tc>
          <w:tcPr>
            <w:tcW w:type="dxa" w:w="1417"/>
            <w:shd w:val="clear" w:color="auto" w:fill="1A2E6F"/>
          </w:tcPr>
          <w:p>
            <w:pPr>
              <w:spacing w:before="120"/>
              <w:jc w:val="center"/>
            </w:pPr>
            <w:r>
              <w:rPr>
                <w:b/>
                <w:color w:val="FFFFFF"/>
                <w:sz w:val="18"/>
              </w:rPr>
              <w:t>Module 4</w:t>
            </w:r>
          </w:p>
        </w:tc>
        <w:tc>
          <w:tcPr>
            <w:tcW w:type="dxa" w:w="7370"/>
            <w:shd w:val="clear" w:color="auto" w:fill="F4F7FB"/>
          </w:tcPr>
          <w:p>
            <w:pPr>
              <w:spacing w:before="80"/>
            </w:pPr>
            <w:r>
              <w:rPr>
                <w:b/>
                <w:color w:val="1A2E6F"/>
                <w:sz w:val="21"/>
              </w:rPr>
              <w:t>Dossier Industriel Unique (DIU) et Registre Central</w:t>
            </w:r>
          </w:p>
        </w:tc>
      </w:tr>
    </w:tbl>
    <w:p>
      <w:pPr>
        <w:spacing w:before="80" w:after="60"/>
        <w:jc w:val="left"/>
      </w:pPr>
      <w:r>
        <w:rPr>
          <w:b w:val="0"/>
        </w:rPr>
        <w:t>Mémoire institutionnelle permanente de chaque opérateur industriel au Gabon.</w:t>
      </w:r>
    </w:p>
    <w:p>
      <w:pPr>
        <w:pStyle w:val="ListBullet"/>
        <w:spacing w:before="20" w:after="60"/>
        <w:ind w:left="283"/>
      </w:pPr>
      <w:r>
        <w:t>Fiche permanente par entreprise (identité, historique, agréments actifs)</w:t>
      </w:r>
    </w:p>
    <w:p>
      <w:pPr>
        <w:pStyle w:val="ListBullet"/>
        <w:spacing w:before="20" w:after="60"/>
        <w:ind w:left="283"/>
      </w:pPr>
      <w:r>
        <w:t>Consolidation automatique de tous les documents — jamais perdus, jamais à refournir</w:t>
      </w:r>
    </w:p>
    <w:p>
      <w:pPr>
        <w:pStyle w:val="ListBullet"/>
        <w:spacing w:before="20" w:after="60"/>
        <w:ind w:left="283"/>
      </w:pPr>
      <w:r>
        <w:t>Moteur de recherche avancé (secteur, région, taille, statut)</w:t>
      </w:r>
    </w:p>
    <w:p>
      <w:pPr>
        <w:pStyle w:val="ListBullet"/>
        <w:spacing w:before="20" w:after="60"/>
        <w:ind w:left="283"/>
      </w:pPr>
      <w:r>
        <w:t>Base de référence pour les statistiques industrielles nationales</w:t>
      </w:r>
    </w:p>
    <w:p>
      <w:pPr>
        <w:pStyle w:val="ListBullet"/>
        <w:spacing w:before="20" w:after="60"/>
        <w:ind w:left="283"/>
      </w:pPr>
      <w:r>
        <w:t>Export des données pour les besoins décisionnels</w:t>
      </w:r>
    </w:p>
    <w:tbl>
      <w:tblPr>
        <w:tblStyle w:val="TableGrid"/>
        <w:tblW w:type="auto" w:w="0"/>
        <w:tblLook w:firstColumn="1" w:firstRow="1" w:lastColumn="0" w:lastRow="0" w:noHBand="0" w:noVBand="1" w:val="04A0"/>
      </w:tblPr>
      <w:tblGrid>
        <w:gridCol w:w="9072"/>
      </w:tblGrid>
      <w:tr>
        <w:tc>
          <w:tcPr>
            <w:tcW w:type="dxa" w:w="9071"/>
            <w:shd w:val="clear" w:color="auto" w:fill="EBF5FF"/>
          </w:tcPr>
          <w:p>
            <w:pPr>
              <w:spacing w:before="80" w:after="80"/>
              <w:ind w:left="170"/>
            </w:pPr>
            <w:r>
              <w:rPr>
                <w:b w:val="0"/>
                <w:color w:val="1A1A2E"/>
                <w:sz w:val="20"/>
              </w:rPr>
              <w:t>Valeur ajoutée : Fin de la perte de mémoire institutionnelle. Un nouvel agent a accès à tout l'historique instantanément.</w:t>
            </w:r>
          </w:p>
        </w:tc>
      </w:tr>
    </w:tbl>
    <w:p/>
    <w:tbl>
      <w:tblPr>
        <w:tblW w:type="auto" w:w="0"/>
        <w:jc w:val="left"/>
        <w:tblLook w:firstColumn="1" w:firstRow="1" w:lastColumn="0" w:lastRow="0" w:noHBand="0" w:noVBand="1" w:val="04A0"/>
      </w:tblPr>
      <w:tblGrid>
        <w:gridCol w:w="4536"/>
        <w:gridCol w:w="4536"/>
      </w:tblGrid>
      <w:tr>
        <w:tc>
          <w:tcPr>
            <w:tcW w:type="dxa" w:w="1417"/>
            <w:shd w:val="clear" w:color="auto" w:fill="009440"/>
          </w:tcPr>
          <w:p>
            <w:pPr>
              <w:spacing w:before="120"/>
              <w:jc w:val="center"/>
            </w:pPr>
            <w:r>
              <w:rPr>
                <w:b/>
                <w:color w:val="FFFFFF"/>
                <w:sz w:val="18"/>
              </w:rPr>
              <w:t>Module 5</w:t>
            </w:r>
          </w:p>
        </w:tc>
        <w:tc>
          <w:tcPr>
            <w:tcW w:type="dxa" w:w="7370"/>
            <w:shd w:val="clear" w:color="auto" w:fill="F4F7FB"/>
          </w:tcPr>
          <w:p>
            <w:pPr>
              <w:spacing w:before="80"/>
            </w:pPr>
            <w:r>
              <w:rPr>
                <w:b/>
                <w:color w:val="009440"/>
                <w:sz w:val="21"/>
              </w:rPr>
              <w:t>Dashboard Ministériel et Business Intelligence</w:t>
            </w:r>
          </w:p>
        </w:tc>
      </w:tr>
    </w:tbl>
    <w:p>
      <w:pPr>
        <w:spacing w:before="80" w:after="60"/>
        <w:jc w:val="left"/>
      </w:pPr>
      <w:r>
        <w:rPr>
          <w:b w:val="0"/>
        </w:rPr>
        <w:t>Tableau de bord décisionnel pour le Ministre, le SG, les Directeurs et leurs équipes.</w:t>
      </w:r>
    </w:p>
    <w:p>
      <w:pPr>
        <w:pStyle w:val="ListBullet"/>
        <w:spacing w:before="20" w:after="60"/>
        <w:ind w:left="283"/>
      </w:pPr>
      <w:r>
        <w:t>Vue synthétique temps réel : dossiers, délais, taux de traitement</w:t>
      </w:r>
    </w:p>
    <w:p>
      <w:pPr>
        <w:pStyle w:val="ListBullet"/>
        <w:spacing w:before="20" w:after="60"/>
        <w:ind w:left="283"/>
      </w:pPr>
      <w:r>
        <w:t>Cartographie industrielle du Gabon (GIS) par secteur et province</w:t>
      </w:r>
    </w:p>
    <w:p>
      <w:pPr>
        <w:pStyle w:val="ListBullet"/>
        <w:spacing w:before="20" w:after="60"/>
        <w:ind w:left="283"/>
      </w:pPr>
      <w:r>
        <w:t>Indicateurs sectoriels : agréments par filière (bois, mines, agroalimentaire…)</w:t>
      </w:r>
    </w:p>
    <w:p>
      <w:pPr>
        <w:pStyle w:val="ListBullet"/>
        <w:spacing w:before="20" w:after="60"/>
        <w:ind w:left="283"/>
      </w:pPr>
      <w:r>
        <w:t>Suivi KPIs nationaux : emplois industriels, valeur ajoutée, taux de transformation</w:t>
      </w:r>
    </w:p>
    <w:p>
      <w:pPr>
        <w:pStyle w:val="ListBullet"/>
        <w:spacing w:before="20" w:after="60"/>
        <w:ind w:left="283"/>
      </w:pPr>
      <w:r>
        <w:t>Alertes décisionnelles : dossiers critiques, anomalies</w:t>
      </w:r>
    </w:p>
    <w:p>
      <w:pPr>
        <w:pStyle w:val="ListBullet"/>
        <w:spacing w:before="20" w:after="60"/>
        <w:ind w:left="283"/>
      </w:pPr>
      <w:r>
        <w:t>Rapports automatisés exportables (PDF/Excel)</w:t>
      </w:r>
    </w:p>
    <w:p>
      <w:pPr>
        <w:pStyle w:val="ListBullet"/>
        <w:spacing w:before="20" w:after="60"/>
        <w:ind w:left="283"/>
      </w:pPr>
      <w:r>
        <w:t>Prévisions et tendances basées sur les données historiques</w:t>
      </w:r>
    </w:p>
    <w:tbl>
      <w:tblPr>
        <w:tblStyle w:val="TableGrid"/>
        <w:tblW w:type="auto" w:w="0"/>
        <w:tblLook w:firstColumn="1" w:firstRow="1" w:lastColumn="0" w:lastRow="0" w:noHBand="0" w:noVBand="1" w:val="04A0"/>
      </w:tblPr>
      <w:tblGrid>
        <w:gridCol w:w="9072"/>
      </w:tblGrid>
      <w:tr>
        <w:tc>
          <w:tcPr>
            <w:tcW w:type="dxa" w:w="9071"/>
            <w:shd w:val="clear" w:color="auto" w:fill="EBF5FF"/>
          </w:tcPr>
          <w:p>
            <w:pPr>
              <w:spacing w:before="80" w:after="80"/>
              <w:ind w:left="170"/>
            </w:pPr>
            <w:r>
              <w:rPr>
                <w:b w:val="0"/>
                <w:color w:val="1A1A2E"/>
                <w:sz w:val="20"/>
              </w:rPr>
              <w:t>Valeur ajoutée : Le Ministre pilote pour la première fois le secteur industriel national avec des données fiables et actualisées.</w:t>
            </w:r>
          </w:p>
        </w:tc>
      </w:tr>
    </w:tbl>
    <w:p/>
    <w:tbl>
      <w:tblPr>
        <w:tblW w:type="auto" w:w="0"/>
        <w:jc w:val="left"/>
        <w:tblLook w:firstColumn="1" w:firstRow="1" w:lastColumn="0" w:lastRow="0" w:noHBand="0" w:noVBand="1" w:val="04A0"/>
      </w:tblPr>
      <w:tblGrid>
        <w:gridCol w:w="4536"/>
        <w:gridCol w:w="4536"/>
      </w:tblGrid>
      <w:tr>
        <w:tc>
          <w:tcPr>
            <w:tcW w:type="dxa" w:w="1417"/>
            <w:shd w:val="clear" w:color="auto" w:fill="7D3C98"/>
          </w:tcPr>
          <w:p>
            <w:pPr>
              <w:spacing w:before="120"/>
              <w:jc w:val="center"/>
            </w:pPr>
            <w:r>
              <w:rPr>
                <w:b/>
                <w:color w:val="FFFFFF"/>
                <w:sz w:val="18"/>
              </w:rPr>
              <w:t>Module 6</w:t>
            </w:r>
          </w:p>
        </w:tc>
        <w:tc>
          <w:tcPr>
            <w:tcW w:type="dxa" w:w="7370"/>
            <w:shd w:val="clear" w:color="auto" w:fill="F4F7FB"/>
          </w:tcPr>
          <w:p>
            <w:pPr>
              <w:spacing w:before="80"/>
            </w:pPr>
            <w:r>
              <w:rPr>
                <w:b/>
                <w:color w:val="7D3C98"/>
                <w:sz w:val="21"/>
              </w:rPr>
              <w:t>Conformité Post-Agrément et Inspections Terrain</w:t>
            </w:r>
          </w:p>
        </w:tc>
      </w:tr>
    </w:tbl>
    <w:p>
      <w:pPr>
        <w:spacing w:before="80" w:after="60"/>
        <w:jc w:val="left"/>
      </w:pPr>
      <w:r>
        <w:rPr>
          <w:b w:val="0"/>
        </w:rPr>
        <w:t>Suivi de la vie de l'entreprise après l'obtention de l'agrément.</w:t>
      </w:r>
    </w:p>
    <w:p>
      <w:pPr>
        <w:pStyle w:val="ListBullet"/>
        <w:spacing w:before="20" w:after="60"/>
        <w:ind w:left="283"/>
      </w:pPr>
      <w:r>
        <w:t>Calendrier d'inspections programmées automatiquement</w:t>
      </w:r>
    </w:p>
    <w:p>
      <w:pPr>
        <w:pStyle w:val="ListBullet"/>
        <w:spacing w:before="20" w:after="60"/>
        <w:ind w:left="283"/>
      </w:pPr>
      <w:r>
        <w:t>Coordination inter-administrations (inspections conjointes)</w:t>
      </w:r>
    </w:p>
    <w:p>
      <w:pPr>
        <w:pStyle w:val="ListBullet"/>
        <w:spacing w:before="20" w:after="60"/>
        <w:ind w:left="283"/>
      </w:pPr>
      <w:r>
        <w:t>Application mobile inspecteurs : rapport géolocalisé, photos, signature</w:t>
      </w:r>
    </w:p>
    <w:p>
      <w:pPr>
        <w:pStyle w:val="ListBullet"/>
        <w:spacing w:before="20" w:after="60"/>
        <w:ind w:left="283"/>
      </w:pPr>
      <w:r>
        <w:t>Suivi des mesures correctives avec délais et alertes</w:t>
      </w:r>
    </w:p>
    <w:p>
      <w:pPr>
        <w:pStyle w:val="ListBullet"/>
        <w:spacing w:before="20" w:after="60"/>
        <w:ind w:left="283"/>
      </w:pPr>
      <w:r>
        <w:t>Tableau de bord conformité sectorielle par province</w:t>
      </w:r>
    </w:p>
    <w:tbl>
      <w:tblPr>
        <w:tblStyle w:val="TableGrid"/>
        <w:tblW w:type="auto" w:w="0"/>
        <w:tblLook w:firstColumn="1" w:firstRow="1" w:lastColumn="0" w:lastRow="0" w:noHBand="0" w:noVBand="1" w:val="04A0"/>
      </w:tblPr>
      <w:tblGrid>
        <w:gridCol w:w="9072"/>
      </w:tblGrid>
      <w:tr>
        <w:tc>
          <w:tcPr>
            <w:tcW w:type="dxa" w:w="9071"/>
            <w:shd w:val="clear" w:color="auto" w:fill="EBF5FF"/>
          </w:tcPr>
          <w:p>
            <w:pPr>
              <w:spacing w:before="80" w:after="80"/>
              <w:ind w:left="170"/>
            </w:pPr>
            <w:r>
              <w:rPr>
                <w:b w:val="0"/>
                <w:color w:val="1A1A2E"/>
                <w:sz w:val="20"/>
              </w:rPr>
              <w:t>Valeur ajoutée : L'agrément n'est plus un document qu'on délivre et oublie. La conformité est suivie dans le temps.</w:t>
            </w:r>
          </w:p>
        </w:tc>
      </w:tr>
    </w:tbl>
    <w:p/>
    <w:p>
      <w:r>
        <w:br w:type="page"/>
      </w:r>
    </w:p>
    <w:p>
      <w:pPr>
        <w:keepNext/>
        <w:spacing w:before="360" w:after="120"/>
      </w:pPr>
      <w:r>
        <w:rPr>
          <w:b/>
          <w:color w:val="009440"/>
          <w:sz w:val="26"/>
        </w:rPr>
        <w:t>6. FONCTIONNALITÉS CLÉS ET VALEUR AJOUTÉE</w:t>
      </w:r>
    </w:p>
    <w:p>
      <w:pPr>
        <w:spacing w:before="80" w:after="80"/>
        <w:pBdr>
          <w:bottom w:val="single" w:sz="8" w:space="1" w:color="009440"/>
        </w:pBdr>
      </w:pPr>
    </w:p>
    <w:p>
      <w:pPr>
        <w:keepNext/>
        <w:spacing w:before="240" w:after="80"/>
      </w:pPr>
      <w:r>
        <w:rPr>
          <w:b/>
          <w:color w:val="003F8F"/>
          <w:sz w:val="22"/>
        </w:rPr>
        <w:t>6.1 Intelligence Artificielle — Pré-instruction automatique</w:t>
      </w:r>
    </w:p>
    <w:p>
      <w:pPr>
        <w:pStyle w:val="ListBullet"/>
        <w:spacing w:before="20" w:after="60"/>
        <w:ind w:left="283"/>
      </w:pPr>
      <w:r>
        <w:t>Lecture et extraction automatique des informations des documents (PDF, scans) via OCR</w:t>
      </w:r>
    </w:p>
    <w:p>
      <w:pPr>
        <w:pStyle w:val="ListBullet"/>
        <w:spacing w:before="20" w:after="60"/>
        <w:ind w:left="283"/>
      </w:pPr>
      <w:r>
        <w:t>Vérification de cohérence entre données déclarées et bases de référence</w:t>
      </w:r>
    </w:p>
    <w:p>
      <w:pPr>
        <w:pStyle w:val="ListBullet"/>
        <w:spacing w:before="20" w:after="60"/>
        <w:ind w:left="283"/>
      </w:pPr>
      <w:r>
        <w:t>Calcul d'un score de complétude et d'un score de risque en &lt; 2 minutes</w:t>
      </w:r>
    </w:p>
    <w:p>
      <w:pPr>
        <w:pStyle w:val="ListBullet"/>
        <w:spacing w:before="20" w:after="60"/>
        <w:ind w:left="283"/>
      </w:pPr>
      <w:r>
        <w:t>Génération d'un rapport de pré-instruction pour l'agent humain</w:t>
      </w:r>
    </w:p>
    <w:p>
      <w:pPr>
        <w:pStyle w:val="ListBullet"/>
        <w:spacing w:before="20" w:after="60"/>
        <w:ind w:left="283"/>
      </w:pPr>
      <w:r>
        <w:t>Technologie : LangChain + Mistral (open source français) + OCR Tesseract</w:t>
      </w:r>
    </w:p>
    <w:p>
      <w:pPr>
        <w:pStyle w:val="ListBullet"/>
        <w:spacing w:before="20" w:after="60"/>
        <w:ind w:left="283"/>
      </w:pPr>
      <w:r>
        <w:t>Budget additionnel : 15–20 M FCFA | Gain : 3–5 jours de vérification → 2 minutes</w:t>
      </w:r>
    </w:p>
    <w:p/>
    <w:p>
      <w:pPr>
        <w:keepNext/>
        <w:spacing w:before="240" w:after="80"/>
      </w:pPr>
      <w:r>
        <w:rPr>
          <w:b/>
          <w:color w:val="003F8F"/>
          <w:sz w:val="22"/>
        </w:rPr>
        <w:t>6.2 Signature Électronique à Valeur Juridique (PKI)</w:t>
      </w:r>
    </w:p>
    <w:p>
      <w:pPr>
        <w:pStyle w:val="ListBullet"/>
        <w:spacing w:before="20" w:after="60"/>
        <w:ind w:left="283"/>
      </w:pPr>
      <w:r>
        <w:t>ATI numériques ayant la même valeur juridique que les originaux papier</w:t>
      </w:r>
    </w:p>
    <w:p>
      <w:pPr>
        <w:pStyle w:val="ListBullet"/>
        <w:spacing w:before="20" w:after="60"/>
        <w:ind w:left="283"/>
      </w:pPr>
      <w:r>
        <w:t>Horodatage certifié et infalsifiable de chaque décision</w:t>
      </w:r>
    </w:p>
    <w:p>
      <w:pPr>
        <w:pStyle w:val="ListBullet"/>
        <w:spacing w:before="20" w:after="60"/>
        <w:ind w:left="283"/>
      </w:pPr>
      <w:r>
        <w:t>Vérification d'authenticité instantanée par QR code pour les tiers (banques, partenaires)</w:t>
      </w:r>
    </w:p>
    <w:p>
      <w:pPr>
        <w:pStyle w:val="ListBullet"/>
        <w:spacing w:before="20" w:after="60"/>
        <w:ind w:left="283"/>
      </w:pPr>
      <w:r>
        <w:t>Élimination du marché des faux agréments et certifications</w:t>
      </w:r>
    </w:p>
    <w:p>
      <w:pPr>
        <w:pStyle w:val="ListBullet"/>
        <w:spacing w:before="20" w:after="60"/>
        <w:ind w:left="283"/>
      </w:pPr>
      <w:r>
        <w:t>Prérequis : décret donnant valeur juridique à la signature électronique industrielle</w:t>
      </w:r>
    </w:p>
    <w:p/>
    <w:p>
      <w:pPr>
        <w:keepNext/>
        <w:spacing w:before="240" w:after="80"/>
      </w:pPr>
      <w:r>
        <w:rPr>
          <w:b/>
          <w:color w:val="003F8F"/>
          <w:sz w:val="22"/>
        </w:rPr>
        <w:t>6.3 Cartographie Industrielle Géospatiale (GIS)</w:t>
      </w:r>
    </w:p>
    <w:p>
      <w:pPr>
        <w:pStyle w:val="ListBullet"/>
        <w:spacing w:before="20" w:after="60"/>
        <w:ind w:left="283"/>
      </w:pPr>
      <w:r>
        <w:t>Localisation de toutes les entreprises agréées par secteur, province et statut</w:t>
      </w:r>
    </w:p>
    <w:p>
      <w:pPr>
        <w:pStyle w:val="ListBullet"/>
        <w:spacing w:before="20" w:after="60"/>
        <w:ind w:left="283"/>
      </w:pPr>
      <w:r>
        <w:t>Visualisation des clusters industriels et déserts industriels</w:t>
      </w:r>
    </w:p>
    <w:p>
      <w:pPr>
        <w:pStyle w:val="ListBullet"/>
        <w:spacing w:before="20" w:after="60"/>
        <w:ind w:left="283"/>
      </w:pPr>
      <w:r>
        <w:t>Flux d'agréments et de renouvellements dans le temps</w:t>
      </w:r>
    </w:p>
    <w:p>
      <w:pPr>
        <w:pStyle w:val="ListBullet"/>
        <w:spacing w:before="20" w:after="60"/>
        <w:ind w:left="283"/>
      </w:pPr>
      <w:r>
        <w:t>Corrélation agréments accordés / emplois créés (données CNSS)</w:t>
      </w:r>
    </w:p>
    <w:p>
      <w:pPr>
        <w:pStyle w:val="ListBullet"/>
        <w:spacing w:before="20" w:after="60"/>
        <w:ind w:left="283"/>
      </w:pPr>
      <w:r>
        <w:t>Outil de politique industrielle — la carte que le Gabon n'a jamais eu</w:t>
      </w:r>
    </w:p>
    <w:p/>
    <w:p>
      <w:pPr>
        <w:keepNext/>
        <w:spacing w:before="240" w:after="80"/>
      </w:pPr>
      <w:r>
        <w:rPr>
          <w:b/>
          <w:color w:val="003F8F"/>
          <w:sz w:val="22"/>
        </w:rPr>
        <w:t>6.4 API Gateway — Socle d'Interopérabilité Future</w:t>
      </w:r>
    </w:p>
    <w:p>
      <w:pPr>
        <w:pStyle w:val="ListBullet"/>
        <w:spacing w:before="20" w:after="60"/>
        <w:ind w:left="283"/>
      </w:pPr>
      <w:r>
        <w:t>Architecture permettant la connexion progressive avec les administrations partenaires</w:t>
      </w:r>
    </w:p>
    <w:p>
      <w:pPr>
        <w:pStyle w:val="ListBullet"/>
        <w:spacing w:before="20" w:after="60"/>
        <w:ind w:left="283"/>
      </w:pPr>
      <w:r>
        <w:t>ANPI-Gabon : vérification automatique du registre des entreprises</w:t>
      </w:r>
    </w:p>
    <w:p>
      <w:pPr>
        <w:pStyle w:val="ListBullet"/>
        <w:spacing w:before="20" w:after="60"/>
        <w:ind w:left="283"/>
      </w:pPr>
      <w:r>
        <w:t>DGI : vérification du statut fiscal des demandeurs</w:t>
      </w:r>
    </w:p>
    <w:p>
      <w:pPr>
        <w:pStyle w:val="ListBullet"/>
        <w:spacing w:before="20" w:after="60"/>
        <w:ind w:left="283"/>
      </w:pPr>
      <w:r>
        <w:t>Douanes (SYDONIA) : vérification des importations d'équipements déclarés</w:t>
      </w:r>
    </w:p>
    <w:p>
      <w:pPr>
        <w:pStyle w:val="ListBullet"/>
        <w:spacing w:before="20" w:after="60"/>
        <w:ind w:left="283"/>
      </w:pPr>
      <w:r>
        <w:t>CNSS : vérification des déclarations sociales</w:t>
      </w:r>
    </w:p>
    <w:p>
      <w:pPr>
        <w:pStyle w:val="ListBullet"/>
        <w:spacing w:before="20" w:after="60"/>
        <w:ind w:left="283"/>
      </w:pPr>
      <w:r>
        <w:t>Dès la Phase 1 : stubs prêts, activation progressive par convention</w:t>
      </w:r>
    </w:p>
    <w:p/>
    <w:p>
      <w:r>
        <w:br w:type="page"/>
      </w:r>
    </w:p>
    <w:p>
      <w:pPr>
        <w:keepNext/>
        <w:spacing w:before="360" w:after="120"/>
      </w:pPr>
      <w:r>
        <w:rPr>
          <w:b/>
          <w:color w:val="009440"/>
          <w:sz w:val="26"/>
        </w:rPr>
        <w:t>7. ARCHITECTURE TECHNIQUE ET SÉCURITÉ</w:t>
      </w:r>
    </w:p>
    <w:p>
      <w:pPr>
        <w:spacing w:before="80" w:after="80"/>
        <w:pBdr>
          <w:bottom w:val="single" w:sz="8" w:space="1" w:color="009440"/>
        </w:pBdr>
      </w:pPr>
    </w:p>
    <w:p>
      <w:pPr>
        <w:keepNext/>
        <w:spacing w:before="240" w:after="80"/>
      </w:pPr>
      <w:r>
        <w:rPr>
          <w:b/>
          <w:color w:val="003F8F"/>
          <w:sz w:val="22"/>
        </w:rPr>
        <w:t>7.1 Choix technologiques</w:t>
      </w:r>
    </w:p>
    <w:tbl>
      <w:tblPr>
        <w:tblStyle w:val="TableGrid"/>
        <w:tblW w:type="auto" w:w="0"/>
        <w:jc w:val="left"/>
        <w:tblLook w:firstColumn="1" w:firstRow="1" w:lastColumn="0" w:lastRow="0" w:noHBand="0" w:noVBand="1" w:val="04A0"/>
      </w:tblPr>
      <w:tblGrid>
        <w:gridCol w:w="3024"/>
        <w:gridCol w:w="3024"/>
        <w:gridCol w:w="3024"/>
      </w:tblGrid>
      <w:tr>
        <w:tc>
          <w:tcPr>
            <w:tcW w:type="dxa" w:w="2268"/>
            <w:shd w:val="clear" w:color="auto" w:fill="003F8F"/>
          </w:tcPr>
          <w:p>
            <w:pPr>
              <w:spacing w:before="60" w:after="60"/>
              <w:jc w:val="center"/>
            </w:pPr>
            <w:r>
              <w:rPr>
                <w:b/>
                <w:color w:val="FFFFFF"/>
                <w:sz w:val="18"/>
              </w:rPr>
              <w:t>Composant</w:t>
            </w:r>
          </w:p>
        </w:tc>
        <w:tc>
          <w:tcPr>
            <w:tcW w:type="dxa" w:w="2268"/>
            <w:shd w:val="clear" w:color="auto" w:fill="003F8F"/>
          </w:tcPr>
          <w:p>
            <w:pPr>
              <w:spacing w:before="60" w:after="60"/>
              <w:jc w:val="center"/>
            </w:pPr>
            <w:r>
              <w:rPr>
                <w:b/>
                <w:color w:val="FFFFFF"/>
                <w:sz w:val="18"/>
              </w:rPr>
              <w:t>Technologie</w:t>
            </w:r>
          </w:p>
        </w:tc>
        <w:tc>
          <w:tcPr>
            <w:tcW w:type="dxa" w:w="4252"/>
            <w:shd w:val="clear" w:color="auto" w:fill="003F8F"/>
          </w:tcPr>
          <w:p>
            <w:pPr>
              <w:spacing w:before="60" w:after="60"/>
              <w:jc w:val="center"/>
            </w:pPr>
            <w:r>
              <w:rPr>
                <w:b/>
                <w:color w:val="FFFFFF"/>
                <w:sz w:val="18"/>
              </w:rPr>
              <w:t>Justification</w:t>
            </w:r>
          </w:p>
        </w:tc>
      </w:tr>
      <w:tr>
        <w:tc>
          <w:tcPr>
            <w:tcW w:type="dxa" w:w="2268"/>
            <w:shd w:val="clear" w:color="auto" w:fill="FFFFFF"/>
          </w:tcPr>
          <w:p>
            <w:pPr>
              <w:spacing w:before="40" w:after="40"/>
            </w:pPr>
            <w:r>
              <w:rPr>
                <w:b/>
                <w:sz w:val="18"/>
              </w:rPr>
              <w:t>Backend API</w:t>
            </w:r>
          </w:p>
        </w:tc>
        <w:tc>
          <w:tcPr>
            <w:tcW w:type="dxa" w:w="2268"/>
            <w:shd w:val="clear" w:color="auto" w:fill="FFFFFF"/>
          </w:tcPr>
          <w:p>
            <w:pPr>
              <w:spacing w:before="40" w:after="40"/>
            </w:pPr>
            <w:r>
              <w:rPr>
                <w:sz w:val="18"/>
              </w:rPr>
              <w:t>FastAPI (Python 3.12)</w:t>
            </w:r>
          </w:p>
        </w:tc>
        <w:tc>
          <w:tcPr>
            <w:tcW w:type="dxa" w:w="4252"/>
            <w:shd w:val="clear" w:color="auto" w:fill="FFFFFF"/>
          </w:tcPr>
          <w:p>
            <w:pPr>
              <w:spacing w:before="40" w:after="40"/>
            </w:pPr>
            <w:r>
              <w:rPr>
                <w:sz w:val="18"/>
              </w:rPr>
              <w:t>Performance, maturité, écosystème IA/ML, open source</w:t>
            </w:r>
          </w:p>
        </w:tc>
      </w:tr>
      <w:tr>
        <w:tc>
          <w:tcPr>
            <w:tcW w:type="dxa" w:w="2268"/>
            <w:shd w:val="clear" w:color="auto" w:fill="F4F7FB"/>
          </w:tcPr>
          <w:p>
            <w:pPr>
              <w:spacing w:before="40" w:after="40"/>
            </w:pPr>
            <w:r>
              <w:rPr>
                <w:b/>
                <w:sz w:val="18"/>
              </w:rPr>
              <w:t>Base de données</w:t>
            </w:r>
          </w:p>
        </w:tc>
        <w:tc>
          <w:tcPr>
            <w:tcW w:type="dxa" w:w="2268"/>
            <w:shd w:val="clear" w:color="auto" w:fill="F4F7FB"/>
          </w:tcPr>
          <w:p>
            <w:pPr>
              <w:spacing w:before="40" w:after="40"/>
            </w:pPr>
            <w:r>
              <w:rPr>
                <w:sz w:val="18"/>
              </w:rPr>
              <w:t>PostgreSQL 16</w:t>
            </w:r>
          </w:p>
        </w:tc>
        <w:tc>
          <w:tcPr>
            <w:tcW w:type="dxa" w:w="4252"/>
            <w:shd w:val="clear" w:color="auto" w:fill="F4F7FB"/>
          </w:tcPr>
          <w:p>
            <w:pPr>
              <w:spacing w:before="40" w:after="40"/>
            </w:pPr>
            <w:r>
              <w:rPr>
                <w:sz w:val="18"/>
              </w:rPr>
              <w:t>Robustesse, ACID, support JSON, open source, souverain</w:t>
            </w:r>
          </w:p>
        </w:tc>
      </w:tr>
      <w:tr>
        <w:tc>
          <w:tcPr>
            <w:tcW w:type="dxa" w:w="2268"/>
            <w:shd w:val="clear" w:color="auto" w:fill="FFFFFF"/>
          </w:tcPr>
          <w:p>
            <w:pPr>
              <w:spacing w:before="40" w:after="40"/>
            </w:pPr>
            <w:r>
              <w:rPr>
                <w:b/>
                <w:sz w:val="18"/>
              </w:rPr>
              <w:t>Frontend dashboard</w:t>
            </w:r>
          </w:p>
        </w:tc>
        <w:tc>
          <w:tcPr>
            <w:tcW w:type="dxa" w:w="2268"/>
            <w:shd w:val="clear" w:color="auto" w:fill="FFFFFF"/>
          </w:tcPr>
          <w:p>
            <w:pPr>
              <w:spacing w:before="40" w:after="40"/>
            </w:pPr>
            <w:r>
              <w:rPr>
                <w:sz w:val="18"/>
              </w:rPr>
              <w:t>Next.js 14 / React</w:t>
            </w:r>
          </w:p>
        </w:tc>
        <w:tc>
          <w:tcPr>
            <w:tcW w:type="dxa" w:w="4252"/>
            <w:shd w:val="clear" w:color="auto" w:fill="FFFFFF"/>
          </w:tcPr>
          <w:p>
            <w:pPr>
              <w:spacing w:before="40" w:after="40"/>
            </w:pPr>
            <w:r>
              <w:rPr>
                <w:sz w:val="18"/>
              </w:rPr>
              <w:t>Standard industrie, SSR, performance, maintenable</w:t>
            </w:r>
          </w:p>
        </w:tc>
      </w:tr>
      <w:tr>
        <w:tc>
          <w:tcPr>
            <w:tcW w:type="dxa" w:w="2268"/>
            <w:shd w:val="clear" w:color="auto" w:fill="F4F7FB"/>
          </w:tcPr>
          <w:p>
            <w:pPr>
              <w:spacing w:before="40" w:after="40"/>
            </w:pPr>
            <w:r>
              <w:rPr>
                <w:b/>
                <w:sz w:val="18"/>
              </w:rPr>
              <w:t>Application mobile</w:t>
            </w:r>
          </w:p>
        </w:tc>
        <w:tc>
          <w:tcPr>
            <w:tcW w:type="dxa" w:w="2268"/>
            <w:shd w:val="clear" w:color="auto" w:fill="F4F7FB"/>
          </w:tcPr>
          <w:p>
            <w:pPr>
              <w:spacing w:before="40" w:after="40"/>
            </w:pPr>
            <w:r>
              <w:rPr>
                <w:sz w:val="18"/>
              </w:rPr>
              <w:t>Flutter</w:t>
            </w:r>
          </w:p>
        </w:tc>
        <w:tc>
          <w:tcPr>
            <w:tcW w:type="dxa" w:w="4252"/>
            <w:shd w:val="clear" w:color="auto" w:fill="F4F7FB"/>
          </w:tcPr>
          <w:p>
            <w:pPr>
              <w:spacing w:before="40" w:after="40"/>
            </w:pPr>
            <w:r>
              <w:rPr>
                <w:sz w:val="18"/>
              </w:rPr>
              <w:t>Multi-plateforme (iOS + Android) depuis un seul code</w:t>
            </w:r>
          </w:p>
        </w:tc>
      </w:tr>
      <w:tr>
        <w:tc>
          <w:tcPr>
            <w:tcW w:type="dxa" w:w="2268"/>
            <w:shd w:val="clear" w:color="auto" w:fill="FFFFFF"/>
          </w:tcPr>
          <w:p>
            <w:pPr>
              <w:spacing w:before="40" w:after="40"/>
            </w:pPr>
            <w:r>
              <w:rPr>
                <w:b/>
                <w:sz w:val="18"/>
              </w:rPr>
              <w:t>Authentification</w:t>
            </w:r>
          </w:p>
        </w:tc>
        <w:tc>
          <w:tcPr>
            <w:tcW w:type="dxa" w:w="2268"/>
            <w:shd w:val="clear" w:color="auto" w:fill="FFFFFF"/>
          </w:tcPr>
          <w:p>
            <w:pPr>
              <w:spacing w:before="40" w:after="40"/>
            </w:pPr>
            <w:r>
              <w:rPr>
                <w:sz w:val="18"/>
              </w:rPr>
              <w:t>JWT + OAuth2 + MFA</w:t>
            </w:r>
          </w:p>
        </w:tc>
        <w:tc>
          <w:tcPr>
            <w:tcW w:type="dxa" w:w="4252"/>
            <w:shd w:val="clear" w:color="auto" w:fill="FFFFFF"/>
          </w:tcPr>
          <w:p>
            <w:pPr>
              <w:spacing w:before="40" w:after="40"/>
            </w:pPr>
            <w:r>
              <w:rPr>
                <w:sz w:val="18"/>
              </w:rPr>
              <w:t>Sécurité renforcée, standard international</w:t>
            </w:r>
          </w:p>
        </w:tc>
      </w:tr>
      <w:tr>
        <w:tc>
          <w:tcPr>
            <w:tcW w:type="dxa" w:w="2268"/>
            <w:shd w:val="clear" w:color="auto" w:fill="F4F7FB"/>
          </w:tcPr>
          <w:p>
            <w:pPr>
              <w:spacing w:before="40" w:after="40"/>
            </w:pPr>
            <w:r>
              <w:rPr>
                <w:b/>
                <w:sz w:val="18"/>
              </w:rPr>
              <w:t>IA documentaire</w:t>
            </w:r>
          </w:p>
        </w:tc>
        <w:tc>
          <w:tcPr>
            <w:tcW w:type="dxa" w:w="2268"/>
            <w:shd w:val="clear" w:color="auto" w:fill="F4F7FB"/>
          </w:tcPr>
          <w:p>
            <w:pPr>
              <w:spacing w:before="40" w:after="40"/>
            </w:pPr>
            <w:r>
              <w:rPr>
                <w:sz w:val="18"/>
              </w:rPr>
              <w:t>LangChain + Mistral</w:t>
            </w:r>
          </w:p>
        </w:tc>
        <w:tc>
          <w:tcPr>
            <w:tcW w:type="dxa" w:w="4252"/>
            <w:shd w:val="clear" w:color="auto" w:fill="F4F7FB"/>
          </w:tcPr>
          <w:p>
            <w:pPr>
              <w:spacing w:before="40" w:after="40"/>
            </w:pPr>
            <w:r>
              <w:rPr>
                <w:sz w:val="18"/>
              </w:rPr>
              <w:t>Open source français — souveraineté numérique</w:t>
            </w:r>
          </w:p>
        </w:tc>
      </w:tr>
      <w:tr>
        <w:tc>
          <w:tcPr>
            <w:tcW w:type="dxa" w:w="2268"/>
            <w:shd w:val="clear" w:color="auto" w:fill="FFFFFF"/>
          </w:tcPr>
          <w:p>
            <w:pPr>
              <w:spacing w:before="40" w:after="40"/>
            </w:pPr>
            <w:r>
              <w:rPr>
                <w:b/>
                <w:sz w:val="18"/>
              </w:rPr>
              <w:t>Conteneurisation</w:t>
            </w:r>
          </w:p>
        </w:tc>
        <w:tc>
          <w:tcPr>
            <w:tcW w:type="dxa" w:w="2268"/>
            <w:shd w:val="clear" w:color="auto" w:fill="FFFFFF"/>
          </w:tcPr>
          <w:p>
            <w:pPr>
              <w:spacing w:before="40" w:after="40"/>
            </w:pPr>
            <w:r>
              <w:rPr>
                <w:sz w:val="18"/>
              </w:rPr>
              <w:t>Docker + Compose</w:t>
            </w:r>
          </w:p>
        </w:tc>
        <w:tc>
          <w:tcPr>
            <w:tcW w:type="dxa" w:w="4252"/>
            <w:shd w:val="clear" w:color="auto" w:fill="FFFFFF"/>
          </w:tcPr>
          <w:p>
            <w:pPr>
              <w:spacing w:before="40" w:after="40"/>
            </w:pPr>
            <w:r>
              <w:rPr>
                <w:sz w:val="18"/>
              </w:rPr>
              <w:t>Déploiement reproductible et portable</w:t>
            </w:r>
          </w:p>
        </w:tc>
      </w:tr>
      <w:tr>
        <w:tc>
          <w:tcPr>
            <w:tcW w:type="dxa" w:w="2268"/>
            <w:shd w:val="clear" w:color="auto" w:fill="F4F7FB"/>
          </w:tcPr>
          <w:p>
            <w:pPr>
              <w:spacing w:before="40" w:after="40"/>
            </w:pPr>
            <w:r>
              <w:rPr>
                <w:b/>
                <w:sz w:val="18"/>
              </w:rPr>
              <w:t>CI/CD</w:t>
            </w:r>
          </w:p>
        </w:tc>
        <w:tc>
          <w:tcPr>
            <w:tcW w:type="dxa" w:w="2268"/>
            <w:shd w:val="clear" w:color="auto" w:fill="F4F7FB"/>
          </w:tcPr>
          <w:p>
            <w:pPr>
              <w:spacing w:before="40" w:after="40"/>
            </w:pPr>
            <w:r>
              <w:rPr>
                <w:sz w:val="18"/>
              </w:rPr>
              <w:t>GitHub Actions</w:t>
            </w:r>
          </w:p>
        </w:tc>
        <w:tc>
          <w:tcPr>
            <w:tcW w:type="dxa" w:w="4252"/>
            <w:shd w:val="clear" w:color="auto" w:fill="F4F7FB"/>
          </w:tcPr>
          <w:p>
            <w:pPr>
              <w:spacing w:before="40" w:after="40"/>
            </w:pPr>
            <w:r>
              <w:rPr>
                <w:sz w:val="18"/>
              </w:rPr>
              <w:t>Automatisation tests et déploiements</w:t>
            </w:r>
          </w:p>
        </w:tc>
      </w:tr>
      <w:tr>
        <w:tc>
          <w:tcPr>
            <w:tcW w:type="dxa" w:w="2268"/>
            <w:shd w:val="clear" w:color="auto" w:fill="FFFFFF"/>
          </w:tcPr>
          <w:p>
            <w:pPr>
              <w:spacing w:before="40" w:after="40"/>
            </w:pPr>
            <w:r>
              <w:rPr>
                <w:b/>
                <w:sz w:val="18"/>
              </w:rPr>
              <w:t>Monitoring</w:t>
            </w:r>
          </w:p>
        </w:tc>
        <w:tc>
          <w:tcPr>
            <w:tcW w:type="dxa" w:w="2268"/>
            <w:shd w:val="clear" w:color="auto" w:fill="FFFFFF"/>
          </w:tcPr>
          <w:p>
            <w:pPr>
              <w:spacing w:before="40" w:after="40"/>
            </w:pPr>
            <w:r>
              <w:rPr>
                <w:sz w:val="18"/>
              </w:rPr>
              <w:t>Prometheus + Grafana</w:t>
            </w:r>
          </w:p>
        </w:tc>
        <w:tc>
          <w:tcPr>
            <w:tcW w:type="dxa" w:w="4252"/>
            <w:shd w:val="clear" w:color="auto" w:fill="FFFFFF"/>
          </w:tcPr>
          <w:p>
            <w:pPr>
              <w:spacing w:before="40" w:after="40"/>
            </w:pPr>
            <w:r>
              <w:rPr>
                <w:sz w:val="18"/>
              </w:rPr>
              <w:t>Supervision temps réel, alertes</w:t>
            </w:r>
          </w:p>
        </w:tc>
      </w:tr>
      <w:tr>
        <w:tc>
          <w:tcPr>
            <w:tcW w:type="dxa" w:w="2268"/>
            <w:shd w:val="clear" w:color="auto" w:fill="F4F7FB"/>
          </w:tcPr>
          <w:p>
            <w:pPr>
              <w:spacing w:before="40" w:after="40"/>
            </w:pPr>
            <w:r>
              <w:rPr>
                <w:b/>
                <w:sz w:val="18"/>
              </w:rPr>
              <w:t>Migrations BDD</w:t>
            </w:r>
          </w:p>
        </w:tc>
        <w:tc>
          <w:tcPr>
            <w:tcW w:type="dxa" w:w="2268"/>
            <w:shd w:val="clear" w:color="auto" w:fill="F4F7FB"/>
          </w:tcPr>
          <w:p>
            <w:pPr>
              <w:spacing w:before="40" w:after="40"/>
            </w:pPr>
            <w:r>
              <w:rPr>
                <w:sz w:val="18"/>
              </w:rPr>
              <w:t>Alembic</w:t>
            </w:r>
          </w:p>
        </w:tc>
        <w:tc>
          <w:tcPr>
            <w:tcW w:type="dxa" w:w="4252"/>
            <w:shd w:val="clear" w:color="auto" w:fill="F4F7FB"/>
          </w:tcPr>
          <w:p>
            <w:pPr>
              <w:spacing w:before="40" w:after="40"/>
            </w:pPr>
            <w:r>
              <w:rPr>
                <w:sz w:val="18"/>
              </w:rPr>
              <w:t>Versionnage rigoureux du schéma de données</w:t>
            </w:r>
          </w:p>
        </w:tc>
      </w:tr>
    </w:tbl>
    <w:p/>
    <w:p>
      <w:pPr>
        <w:keepNext/>
        <w:spacing w:before="240" w:after="80"/>
      </w:pPr>
      <w:r>
        <w:rPr>
          <w:b/>
          <w:color w:val="003F8F"/>
          <w:sz w:val="22"/>
        </w:rPr>
        <w:t>7.2 Hébergement souverain</w:t>
      </w:r>
    </w:p>
    <w:tbl>
      <w:tblPr>
        <w:tblStyle w:val="TableGrid"/>
        <w:tblW w:type="auto" w:w="0"/>
        <w:tblLook w:firstColumn="1" w:firstRow="1" w:lastColumn="0" w:lastRow="0" w:noHBand="0" w:noVBand="1" w:val="04A0"/>
      </w:tblPr>
      <w:tblGrid>
        <w:gridCol w:w="9072"/>
      </w:tblGrid>
      <w:tr>
        <w:tc>
          <w:tcPr>
            <w:tcW w:type="dxa" w:w="9071"/>
            <w:shd w:val="clear" w:color="auto" w:fill="FFF3CD"/>
          </w:tcPr>
          <w:p>
            <w:pPr>
              <w:spacing w:before="80" w:after="80"/>
              <w:ind w:left="170"/>
            </w:pPr>
            <w:r>
              <w:rPr>
                <w:b w:val="0"/>
                <w:color w:val="1A1A2E"/>
                <w:sz w:val="20"/>
              </w:rPr>
              <w:t>PRINCIPE INVIOLABLE : Les données industrielles stratégiques du Gabon ne transitent sur aucun serveur étranger. Le PNPI est hébergé sur infrastructure souveraine gabonaise.</w:t>
            </w:r>
          </w:p>
        </w:tc>
      </w:tr>
    </w:tbl>
    <w:p/>
    <w:p>
      <w:pPr>
        <w:pStyle w:val="ListBullet"/>
        <w:spacing w:before="20" w:after="60"/>
        <w:ind w:left="283"/>
      </w:pPr>
      <w:r>
        <w:rPr>
          <w:b/>
          <w:color w:val="003F8F"/>
        </w:rPr>
        <w:t>Option 1 (recommandée) :</w:t>
      </w:r>
      <w:r>
        <w:t xml:space="preserve"> Datacenter du Gouvernement Gabonais (si disponible et certifié)</w:t>
      </w:r>
    </w:p>
    <w:p>
      <w:pPr>
        <w:pStyle w:val="ListBullet"/>
        <w:spacing w:before="20" w:after="60"/>
        <w:ind w:left="283"/>
      </w:pPr>
      <w:r>
        <w:rPr>
          <w:b/>
          <w:color w:val="003F8F"/>
        </w:rPr>
        <w:t>Option 2 :</w:t>
      </w:r>
      <w:r>
        <w:t xml:space="preserve"> Cloud souverain africain (AfricaCloud, Dimension Data Gabon)</w:t>
      </w:r>
    </w:p>
    <w:p>
      <w:pPr>
        <w:pStyle w:val="ListBullet"/>
        <w:spacing w:before="20" w:after="60"/>
        <w:ind w:left="283"/>
      </w:pPr>
      <w:r>
        <w:rPr>
          <w:b/>
          <w:color w:val="003F8F"/>
        </w:rPr>
        <w:t>Option 3 :</w:t>
      </w:r>
      <w:r>
        <w:t xml:space="preserve"> Infrastructure dédiée hébergée localement avec redondance</w:t>
      </w:r>
    </w:p>
    <w:p>
      <w:pPr>
        <w:keepNext/>
        <w:spacing w:before="240" w:after="80"/>
      </w:pPr>
      <w:r>
        <w:rPr>
          <w:b/>
          <w:color w:val="003F8F"/>
          <w:sz w:val="22"/>
        </w:rPr>
        <w:t>7.3 Sécurité — Architecture multi-couches</w:t>
      </w:r>
    </w:p>
    <w:tbl>
      <w:tblPr>
        <w:tblStyle w:val="TableGrid"/>
        <w:tblW w:type="auto" w:w="0"/>
        <w:jc w:val="left"/>
        <w:tblLook w:firstColumn="1" w:firstRow="1" w:lastColumn="0" w:lastRow="0" w:noHBand="0" w:noVBand="1" w:val="04A0"/>
      </w:tblPr>
      <w:tblGrid>
        <w:gridCol w:w="4536"/>
        <w:gridCol w:w="4536"/>
      </w:tblGrid>
      <w:tr>
        <w:tc>
          <w:tcPr>
            <w:tcW w:type="dxa" w:w="1984"/>
            <w:shd w:val="clear" w:color="auto" w:fill="C0392B"/>
          </w:tcPr>
          <w:p>
            <w:pPr>
              <w:spacing w:before="60" w:after="60"/>
              <w:jc w:val="center"/>
            </w:pPr>
            <w:r>
              <w:rPr>
                <w:b/>
                <w:color w:val="FFFFFF"/>
                <w:sz w:val="18"/>
              </w:rPr>
              <w:t>Couche</w:t>
            </w:r>
          </w:p>
        </w:tc>
        <w:tc>
          <w:tcPr>
            <w:tcW w:type="dxa" w:w="6803"/>
            <w:shd w:val="clear" w:color="auto" w:fill="C0392B"/>
          </w:tcPr>
          <w:p>
            <w:pPr>
              <w:spacing w:before="60" w:after="60"/>
              <w:jc w:val="center"/>
            </w:pPr>
            <w:r>
              <w:rPr>
                <w:b/>
                <w:color w:val="FFFFFF"/>
                <w:sz w:val="18"/>
              </w:rPr>
              <w:t>Mesures de sécurité</w:t>
            </w:r>
          </w:p>
        </w:tc>
      </w:tr>
      <w:tr>
        <w:tc>
          <w:tcPr>
            <w:tcW w:type="dxa" w:w="1984"/>
            <w:shd w:val="clear" w:color="auto" w:fill="FFFFFF"/>
          </w:tcPr>
          <w:p>
            <w:pPr>
              <w:spacing w:before="40" w:after="40"/>
            </w:pPr>
            <w:r>
              <w:rPr>
                <w:b/>
                <w:sz w:val="18"/>
              </w:rPr>
              <w:t>Accès</w:t>
            </w:r>
          </w:p>
        </w:tc>
        <w:tc>
          <w:tcPr>
            <w:tcW w:type="dxa" w:w="6803"/>
            <w:shd w:val="clear" w:color="auto" w:fill="FFFFFF"/>
          </w:tcPr>
          <w:p>
            <w:pPr>
              <w:spacing w:before="40" w:after="40"/>
            </w:pPr>
            <w:r>
              <w:rPr>
                <w:sz w:val="18"/>
              </w:rPr>
              <w:t>HTTPS/TLS 1.3 — MFA obligatoire — Rate limiting — RBAC 5 niveaux</w:t>
            </w:r>
          </w:p>
        </w:tc>
      </w:tr>
      <w:tr>
        <w:tc>
          <w:tcPr>
            <w:tcW w:type="dxa" w:w="1984"/>
            <w:shd w:val="clear" w:color="auto" w:fill="F4F7FB"/>
          </w:tcPr>
          <w:p>
            <w:pPr>
              <w:spacing w:before="40" w:after="40"/>
            </w:pPr>
            <w:r>
              <w:rPr>
                <w:b/>
                <w:sz w:val="18"/>
              </w:rPr>
              <w:t>Application</w:t>
            </w:r>
          </w:p>
        </w:tc>
        <w:tc>
          <w:tcPr>
            <w:tcW w:type="dxa" w:w="6803"/>
            <w:shd w:val="clear" w:color="auto" w:fill="F4F7FB"/>
          </w:tcPr>
          <w:p>
            <w:pPr>
              <w:spacing w:before="40" w:after="40"/>
            </w:pPr>
            <w:r>
              <w:rPr>
                <w:sz w:val="18"/>
              </w:rPr>
              <w:t>Validation entrées (injection SQL, XSS) — JWT rotation — Sessions limitées — AES-256</w:t>
            </w:r>
          </w:p>
        </w:tc>
      </w:tr>
      <w:tr>
        <w:tc>
          <w:tcPr>
            <w:tcW w:type="dxa" w:w="1984"/>
            <w:shd w:val="clear" w:color="auto" w:fill="FFFFFF"/>
          </w:tcPr>
          <w:p>
            <w:pPr>
              <w:spacing w:before="40" w:after="40"/>
            </w:pPr>
            <w:r>
              <w:rPr>
                <w:b/>
                <w:sz w:val="18"/>
              </w:rPr>
              <w:t>Données</w:t>
            </w:r>
          </w:p>
        </w:tc>
        <w:tc>
          <w:tcPr>
            <w:tcW w:type="dxa" w:w="6803"/>
            <w:shd w:val="clear" w:color="auto" w:fill="FFFFFF"/>
          </w:tcPr>
          <w:p>
            <w:pPr>
              <w:spacing w:before="40" w:after="40"/>
            </w:pPr>
            <w:r>
              <w:rPr>
                <w:sz w:val="18"/>
              </w:rPr>
              <w:t>Audit log infalsifiable — Sauvegardes chiffrées quotidiennes — RPO &lt; 24h / RTO &lt; 4h</w:t>
            </w:r>
          </w:p>
        </w:tc>
      </w:tr>
      <w:tr>
        <w:tc>
          <w:tcPr>
            <w:tcW w:type="dxa" w:w="1984"/>
            <w:shd w:val="clear" w:color="auto" w:fill="F4F7FB"/>
          </w:tcPr>
          <w:p>
            <w:pPr>
              <w:spacing w:before="40" w:after="40"/>
            </w:pPr>
            <w:r>
              <w:rPr>
                <w:b/>
                <w:sz w:val="18"/>
              </w:rPr>
              <w:t>Audits</w:t>
            </w:r>
          </w:p>
        </w:tc>
        <w:tc>
          <w:tcPr>
            <w:tcW w:type="dxa" w:w="6803"/>
            <w:shd w:val="clear" w:color="auto" w:fill="F4F7FB"/>
          </w:tcPr>
          <w:p>
            <w:pPr>
              <w:spacing w:before="40" w:after="40"/>
            </w:pPr>
            <w:r>
              <w:rPr>
                <w:sz w:val="18"/>
              </w:rPr>
              <w:t>Pentest externe annuel — Revue code sécurité avant production — Formation agents</w:t>
            </w:r>
          </w:p>
        </w:tc>
      </w:tr>
    </w:tbl>
    <w:p/>
    <w:p>
      <w:r>
        <w:br w:type="page"/>
      </w:r>
    </w:p>
    <w:p>
      <w:pPr>
        <w:keepNext/>
        <w:spacing w:before="360" w:after="120"/>
      </w:pPr>
      <w:r>
        <w:rPr>
          <w:b/>
          <w:color w:val="009440"/>
          <w:sz w:val="26"/>
        </w:rPr>
        <w:t>8. RETOUR SUR INVESTISSEMENT ET JUSTIFICATION ÉCONOMIQUE</w:t>
      </w:r>
    </w:p>
    <w:p>
      <w:pPr>
        <w:spacing w:before="80" w:after="80"/>
        <w:pBdr>
          <w:bottom w:val="single" w:sz="8" w:space="1" w:color="009440"/>
        </w:pBdr>
      </w:pPr>
    </w:p>
    <w:p>
      <w:pPr>
        <w:keepNext/>
        <w:spacing w:before="240" w:after="80"/>
      </w:pPr>
      <w:r>
        <w:rPr>
          <w:b/>
          <w:color w:val="003F8F"/>
          <w:sz w:val="22"/>
        </w:rPr>
        <w:t>8.1 Tableau de ROI sur 5 ans</w:t>
      </w:r>
    </w:p>
    <w:tbl>
      <w:tblPr>
        <w:tblStyle w:val="TableGrid"/>
        <w:tblW w:type="auto" w:w="0"/>
        <w:jc w:val="left"/>
        <w:tblLook w:firstColumn="1" w:firstRow="1" w:lastColumn="0" w:lastRow="0" w:noHBand="0" w:noVBand="1" w:val="04A0"/>
      </w:tblPr>
      <w:tblGrid>
        <w:gridCol w:w="4536"/>
        <w:gridCol w:w="4536"/>
      </w:tblGrid>
      <w:tr>
        <w:tc>
          <w:tcPr>
            <w:tcW w:type="dxa" w:w="5669"/>
            <w:shd w:val="clear" w:color="auto" w:fill="009440"/>
          </w:tcPr>
          <w:p>
            <w:pPr>
              <w:spacing w:before="60" w:after="60"/>
              <w:jc w:val="center"/>
            </w:pPr>
            <w:r>
              <w:rPr>
                <w:b/>
                <w:color w:val="FFFFFF"/>
                <w:sz w:val="18"/>
              </w:rPr>
              <w:t>Poste</w:t>
            </w:r>
          </w:p>
        </w:tc>
        <w:tc>
          <w:tcPr>
            <w:tcW w:type="dxa" w:w="3118"/>
            <w:shd w:val="clear" w:color="auto" w:fill="009440"/>
          </w:tcPr>
          <w:p>
            <w:pPr>
              <w:spacing w:before="60" w:after="60"/>
              <w:jc w:val="center"/>
            </w:pPr>
            <w:r>
              <w:rPr>
                <w:b/>
                <w:color w:val="FFFFFF"/>
                <w:sz w:val="18"/>
              </w:rPr>
              <w:t>Valeur annuelle</w:t>
            </w:r>
          </w:p>
        </w:tc>
      </w:tr>
      <w:tr>
        <w:tc>
          <w:tcPr>
            <w:tcW w:type="dxa" w:w="5669"/>
            <w:shd w:val="clear" w:color="auto" w:fill="FFFFFF"/>
          </w:tcPr>
          <w:p>
            <w:pPr>
              <w:spacing w:before="40" w:after="40"/>
            </w:pPr>
            <w:r>
              <w:rPr>
                <w:b/>
                <w:sz w:val="18"/>
              </w:rPr>
              <w:t>CAPEX (mise en place)</w:t>
            </w:r>
          </w:p>
        </w:tc>
        <w:tc>
          <w:tcPr>
            <w:tcW w:type="dxa" w:w="3118"/>
            <w:shd w:val="clear" w:color="auto" w:fill="FFFFFF"/>
          </w:tcPr>
          <w:p>
            <w:pPr>
              <w:spacing w:before="40" w:after="40"/>
            </w:pPr>
            <w:r>
              <w:rPr>
                <w:sz w:val="18"/>
              </w:rPr>
              <w:t>340 M FCFA (one-shot)</w:t>
            </w:r>
          </w:p>
        </w:tc>
      </w:tr>
      <w:tr>
        <w:tc>
          <w:tcPr>
            <w:tcW w:type="dxa" w:w="5669"/>
            <w:shd w:val="clear" w:color="auto" w:fill="F4F7FB"/>
          </w:tcPr>
          <w:p>
            <w:pPr>
              <w:spacing w:before="40" w:after="40"/>
            </w:pPr>
            <w:r>
              <w:rPr>
                <w:b/>
                <w:sz w:val="18"/>
              </w:rPr>
              <w:t>OPEX annuel (fonctionnement)</w:t>
            </w:r>
          </w:p>
        </w:tc>
        <w:tc>
          <w:tcPr>
            <w:tcW w:type="dxa" w:w="3118"/>
            <w:shd w:val="clear" w:color="auto" w:fill="F4F7FB"/>
          </w:tcPr>
          <w:p>
            <w:pPr>
              <w:spacing w:before="40" w:after="40"/>
            </w:pPr>
            <w:r>
              <w:rPr>
                <w:sz w:val="18"/>
              </w:rPr>
              <w:t>120 M FCFA/an</w:t>
            </w:r>
          </w:p>
        </w:tc>
      </w:tr>
      <w:tr>
        <w:tc>
          <w:tcPr>
            <w:tcW w:type="dxa" w:w="5669"/>
            <w:shd w:val="clear" w:color="auto" w:fill="FFFFFF"/>
          </w:tcPr>
          <w:p>
            <w:pPr>
              <w:spacing w:before="40" w:after="40"/>
            </w:pPr>
            <w:r>
              <w:rPr>
                <w:b/>
                <w:sz w:val="18"/>
              </w:rPr>
              <w:t>Économies directes (masse salariale, archives, contentieux)</w:t>
            </w:r>
          </w:p>
        </w:tc>
        <w:tc>
          <w:tcPr>
            <w:tcW w:type="dxa" w:w="3118"/>
            <w:shd w:val="clear" w:color="auto" w:fill="FFFFFF"/>
          </w:tcPr>
          <w:p>
            <w:pPr>
              <w:spacing w:before="40" w:after="40"/>
            </w:pPr>
            <w:r>
              <w:rPr>
                <w:sz w:val="18"/>
              </w:rPr>
              <w:t>31–37 M FCFA/an</w:t>
            </w:r>
          </w:p>
        </w:tc>
      </w:tr>
      <w:tr>
        <w:tc>
          <w:tcPr>
            <w:tcW w:type="dxa" w:w="5669"/>
            <w:shd w:val="clear" w:color="auto" w:fill="F4F7FB"/>
          </w:tcPr>
          <w:p>
            <w:pPr>
              <w:spacing w:before="40" w:after="40"/>
            </w:pPr>
            <w:r>
              <w:rPr>
                <w:b/>
                <w:sz w:val="18"/>
              </w:rPr>
              <w:t>Valeur économique (accélération agréments, 10% attributabilité)</w:t>
            </w:r>
          </w:p>
        </w:tc>
        <w:tc>
          <w:tcPr>
            <w:tcW w:type="dxa" w:w="3118"/>
            <w:shd w:val="clear" w:color="auto" w:fill="F4F7FB"/>
          </w:tcPr>
          <w:p>
            <w:pPr>
              <w:spacing w:before="40" w:after="40"/>
            </w:pPr>
            <w:r>
              <w:rPr>
                <w:sz w:val="18"/>
              </w:rPr>
              <w:t>180 M FCFA/an</w:t>
            </w:r>
          </w:p>
        </w:tc>
      </w:tr>
      <w:tr>
        <w:tc>
          <w:tcPr>
            <w:tcW w:type="dxa" w:w="5669"/>
            <w:shd w:val="clear" w:color="auto" w:fill="FFFFFF"/>
          </w:tcPr>
          <w:p>
            <w:pPr>
              <w:spacing w:before="40" w:after="40"/>
            </w:pPr>
            <w:r>
              <w:rPr>
                <w:b/>
                <w:sz w:val="18"/>
              </w:rPr>
              <w:t>TOTAL VALEUR ANNUELLE (conservateur)</w:t>
            </w:r>
          </w:p>
        </w:tc>
        <w:tc>
          <w:tcPr>
            <w:tcW w:type="dxa" w:w="3118"/>
            <w:shd w:val="clear" w:color="auto" w:fill="FFFFFF"/>
          </w:tcPr>
          <w:p>
            <w:pPr>
              <w:spacing w:before="40" w:after="40"/>
            </w:pPr>
            <w:r>
              <w:rPr>
                <w:sz w:val="18"/>
              </w:rPr>
              <w:t>211–217 M FCFA/an</w:t>
            </w:r>
          </w:p>
        </w:tc>
      </w:tr>
      <w:tr>
        <w:tc>
          <w:tcPr>
            <w:tcW w:type="dxa" w:w="5669"/>
            <w:shd w:val="clear" w:color="auto" w:fill="F4F7FB"/>
          </w:tcPr>
          <w:p>
            <w:pPr>
              <w:spacing w:before="40" w:after="40"/>
            </w:pPr>
            <w:r>
              <w:rPr>
                <w:b/>
                <w:sz w:val="18"/>
              </w:rPr>
              <w:t>Payback period</w:t>
            </w:r>
          </w:p>
        </w:tc>
        <w:tc>
          <w:tcPr>
            <w:tcW w:type="dxa" w:w="3118"/>
            <w:shd w:val="clear" w:color="auto" w:fill="F4F7FB"/>
          </w:tcPr>
          <w:p>
            <w:pPr>
              <w:spacing w:before="40" w:after="40"/>
            </w:pPr>
            <w:r>
              <w:rPr>
                <w:sz w:val="18"/>
              </w:rPr>
              <w:t>340 M / 217 M = 1,6 an après déploiement</w:t>
            </w:r>
          </w:p>
        </w:tc>
      </w:tr>
      <w:tr>
        <w:tc>
          <w:tcPr>
            <w:tcW w:type="dxa" w:w="5669"/>
            <w:shd w:val="clear" w:color="auto" w:fill="FFFFFF"/>
          </w:tcPr>
          <w:p>
            <w:pPr>
              <w:spacing w:before="40" w:after="40"/>
            </w:pPr>
            <w:r>
              <w:rPr>
                <w:b/>
                <w:sz w:val="18"/>
              </w:rPr>
              <w:t>ROI net sur 5 ans (5 × 217M − 940M)</w:t>
            </w:r>
          </w:p>
        </w:tc>
        <w:tc>
          <w:tcPr>
            <w:tcW w:type="dxa" w:w="3118"/>
            <w:shd w:val="clear" w:color="auto" w:fill="FFFFFF"/>
          </w:tcPr>
          <w:p>
            <w:pPr>
              <w:spacing w:before="40" w:after="40"/>
            </w:pPr>
            <w:r>
              <w:rPr>
                <w:sz w:val="18"/>
              </w:rPr>
              <w:t>+145 M FCFA minimum</w:t>
            </w:r>
          </w:p>
        </w:tc>
      </w:tr>
    </w:tbl>
    <w:p/>
    <w:p>
      <w:pPr>
        <w:keepNext/>
        <w:spacing w:before="240" w:after="80"/>
      </w:pPr>
      <w:r>
        <w:rPr>
          <w:b/>
          <w:color w:val="003F8F"/>
          <w:sz w:val="22"/>
        </w:rPr>
        <w:t>8.2 Impact sur l'attractivité internationale</w:t>
      </w:r>
    </w:p>
    <w:p>
      <w:pPr>
        <w:spacing w:before="40" w:after="80"/>
        <w:jc w:val="left"/>
      </w:pPr>
      <w:r>
        <w:rPr>
          <w:b w:val="0"/>
        </w:rPr>
        <w:t>Le PNPI contribue directement à l'amélioration de deux indicateurs internationaux mesurés :</w:t>
      </w:r>
    </w:p>
    <w:p>
      <w:pPr>
        <w:pStyle w:val="ListBullet"/>
        <w:spacing w:before="20" w:after="60"/>
        <w:ind w:left="283"/>
      </w:pPr>
      <w:r>
        <w:rPr>
          <w:b/>
          <w:color w:val="003F8F"/>
        </w:rPr>
        <w:t>B-READY Banque Mondiale :</w:t>
      </w:r>
      <w:r>
        <w:t xml:space="preserve"> Indicateur "Obtention des licences d'affaires" directement impacté. Chaque gain de 10 rangs génère 2–3% d'IDE supplémentaires pour les pays d'ASS. Pour le Gabon : 50–100 millions USD d'investissements additionnels annuels potentiels.</w:t>
      </w:r>
    </w:p>
    <w:p>
      <w:pPr>
        <w:pStyle w:val="ListBullet"/>
        <w:spacing w:before="20" w:after="60"/>
        <w:ind w:left="283"/>
      </w:pPr>
      <w:r>
        <w:rPr>
          <w:b/>
          <w:color w:val="003F8F"/>
        </w:rPr>
        <w:t>Mo Ibrahim Index :</w:t>
      </w:r>
      <w:r>
        <w:t xml:space="preserve"> Pilier "Efficacité des services publics" amélioré — signal positif pour les investisseurs institutionnels.</w:t>
      </w:r>
    </w:p>
    <w:tbl>
      <w:tblPr>
        <w:tblStyle w:val="TableGrid"/>
        <w:tblW w:type="auto" w:w="0"/>
        <w:tblLook w:firstColumn="1" w:firstRow="1" w:lastColumn="0" w:lastRow="0" w:noHBand="0" w:noVBand="1" w:val="04A0"/>
      </w:tblPr>
      <w:tblGrid>
        <w:gridCol w:w="9072"/>
      </w:tblGrid>
      <w:tr>
        <w:tc>
          <w:tcPr>
            <w:tcW w:type="dxa" w:w="9071"/>
            <w:shd w:val="clear" w:color="auto" w:fill="E8F4EC"/>
          </w:tcPr>
          <w:p>
            <w:pPr>
              <w:spacing w:before="80" w:after="80"/>
              <w:ind w:left="170"/>
            </w:pPr>
            <w:r>
              <w:rPr>
                <w:b w:val="0"/>
                <w:color w:val="1A1A2E"/>
                <w:sz w:val="20"/>
              </w:rPr>
              <w:t>FORMULATION DÉCISIONNELLE : Le coût total du PNPI sur 5 ans est de 940 M FCFA. L'impact potentiel sur l'attraction des IDE représente 50 à 100 fois cet investissement annuellement. Ce n'est pas une dépense publique. C'est l'investissement à plus fort effet de levier disponible aujourd'hui pour l'économie gabonaise.</w:t>
            </w:r>
          </w:p>
        </w:tc>
      </w:tr>
    </w:tbl>
    <w:p/>
    <w:p>
      <w:pPr>
        <w:keepNext/>
        <w:spacing w:before="240" w:after="80"/>
      </w:pPr>
      <w:r>
        <w:rPr>
          <w:b/>
          <w:color w:val="003F8F"/>
          <w:sz w:val="22"/>
        </w:rPr>
        <w:t>8.3 Modalités de financement envisagées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3118"/>
            <w:shd w:val="clear" w:color="auto" w:fill="003F8F"/>
          </w:tcPr>
          <w:p>
            <w:pPr>
              <w:spacing w:before="60" w:after="60"/>
              <w:jc w:val="center"/>
            </w:pPr>
            <w:r>
              <w:rPr>
                <w:b/>
                <w:color w:val="FFFFFF"/>
                <w:sz w:val="18"/>
              </w:rPr>
              <w:t>Source de financement</w:t>
            </w:r>
          </w:p>
        </w:tc>
        <w:tc>
          <w:tcPr>
            <w:tcW w:type="dxa" w:w="1417"/>
            <w:shd w:val="clear" w:color="auto" w:fill="003F8F"/>
          </w:tcPr>
          <w:p>
            <w:pPr>
              <w:spacing w:before="60" w:after="60"/>
              <w:jc w:val="center"/>
            </w:pPr>
            <w:r>
              <w:rPr>
                <w:b/>
                <w:color w:val="FFFFFF"/>
                <w:sz w:val="18"/>
              </w:rPr>
              <w:t>Part estimée</w:t>
            </w:r>
          </w:p>
        </w:tc>
        <w:tc>
          <w:tcPr>
            <w:tcW w:type="dxa" w:w="1701"/>
            <w:shd w:val="clear" w:color="auto" w:fill="003F8F"/>
          </w:tcPr>
          <w:p>
            <w:pPr>
              <w:spacing w:before="60" w:after="60"/>
              <w:jc w:val="center"/>
            </w:pPr>
            <w:r>
              <w:rPr>
                <w:b/>
                <w:color w:val="FFFFFF"/>
                <w:sz w:val="18"/>
              </w:rPr>
              <w:t>Montant</w:t>
            </w:r>
          </w:p>
        </w:tc>
        <w:tc>
          <w:tcPr>
            <w:tcW w:type="dxa" w:w="2551"/>
            <w:shd w:val="clear" w:color="auto" w:fill="003F8F"/>
          </w:tcPr>
          <w:p>
            <w:pPr>
              <w:spacing w:before="60" w:after="60"/>
              <w:jc w:val="center"/>
            </w:pPr>
            <w:r>
              <w:rPr>
                <w:b/>
                <w:color w:val="FFFFFF"/>
                <w:sz w:val="18"/>
              </w:rPr>
              <w:t>Condition</w:t>
            </w:r>
          </w:p>
        </w:tc>
      </w:tr>
      <w:tr>
        <w:tc>
          <w:tcPr>
            <w:tcW w:type="dxa" w:w="3118"/>
            <w:shd w:val="clear" w:color="auto" w:fill="FFFFFF"/>
          </w:tcPr>
          <w:p>
            <w:pPr>
              <w:spacing w:before="40" w:after="40"/>
            </w:pPr>
            <w:r>
              <w:rPr>
                <w:b/>
                <w:sz w:val="18"/>
              </w:rPr>
              <w:t>Budget national</w:t>
            </w:r>
          </w:p>
        </w:tc>
        <w:tc>
          <w:tcPr>
            <w:tcW w:type="dxa" w:w="1417"/>
            <w:shd w:val="clear" w:color="auto" w:fill="FFFFFF"/>
          </w:tcPr>
          <w:p>
            <w:pPr>
              <w:spacing w:before="40" w:after="40"/>
            </w:pPr>
            <w:r>
              <w:rPr>
                <w:sz w:val="18"/>
              </w:rPr>
              <w:t>40–50%</w:t>
            </w:r>
          </w:p>
        </w:tc>
        <w:tc>
          <w:tcPr>
            <w:tcW w:type="dxa" w:w="1701"/>
            <w:shd w:val="clear" w:color="auto" w:fill="FFFFFF"/>
          </w:tcPr>
          <w:p>
            <w:pPr>
              <w:spacing w:before="40" w:after="40"/>
            </w:pPr>
            <w:r>
              <w:rPr>
                <w:sz w:val="18"/>
              </w:rPr>
              <w:t>~150 M FCFA</w:t>
            </w:r>
          </w:p>
        </w:tc>
        <w:tc>
          <w:tcPr>
            <w:tcW w:type="dxa" w:w="2551"/>
            <w:shd w:val="clear" w:color="auto" w:fill="FFFFFF"/>
          </w:tcPr>
          <w:p>
            <w:pPr>
              <w:spacing w:before="40" w:after="40"/>
            </w:pPr>
            <w:r>
              <w:rPr>
                <w:sz w:val="18"/>
              </w:rPr>
              <w:t>Décision COPIL</w:t>
            </w:r>
          </w:p>
        </w:tc>
      </w:tr>
      <w:tr>
        <w:tc>
          <w:tcPr>
            <w:tcW w:type="dxa" w:w="3118"/>
            <w:shd w:val="clear" w:color="auto" w:fill="F4F7FB"/>
          </w:tcPr>
          <w:p>
            <w:pPr>
              <w:spacing w:before="40" w:after="40"/>
            </w:pPr>
            <w:r>
              <w:rPr>
                <w:b/>
                <w:sz w:val="18"/>
              </w:rPr>
              <w:t>Banque Mondiale / IFC</w:t>
            </w:r>
          </w:p>
        </w:tc>
        <w:tc>
          <w:tcPr>
            <w:tcW w:type="dxa" w:w="1417"/>
            <w:shd w:val="clear" w:color="auto" w:fill="F4F7FB"/>
          </w:tcPr>
          <w:p>
            <w:pPr>
              <w:spacing w:before="40" w:after="40"/>
            </w:pPr>
            <w:r>
              <w:rPr>
                <w:sz w:val="18"/>
              </w:rPr>
              <w:t>20–30%</w:t>
            </w:r>
          </w:p>
        </w:tc>
        <w:tc>
          <w:tcPr>
            <w:tcW w:type="dxa" w:w="1701"/>
            <w:shd w:val="clear" w:color="auto" w:fill="F4F7FB"/>
          </w:tcPr>
          <w:p>
            <w:pPr>
              <w:spacing w:before="40" w:after="40"/>
            </w:pPr>
            <w:r>
              <w:rPr>
                <w:sz w:val="18"/>
              </w:rPr>
              <w:t>~80 M FCFA</w:t>
            </w:r>
          </w:p>
        </w:tc>
        <w:tc>
          <w:tcPr>
            <w:tcW w:type="dxa" w:w="2551"/>
            <w:shd w:val="clear" w:color="auto" w:fill="F4F7FB"/>
          </w:tcPr>
          <w:p>
            <w:pPr>
              <w:spacing w:before="40" w:after="40"/>
            </w:pPr>
            <w:r>
              <w:rPr>
                <w:sz w:val="18"/>
              </w:rPr>
              <w:t>Dossier Investment Climate</w:t>
            </w:r>
          </w:p>
        </w:tc>
      </w:tr>
      <w:tr>
        <w:tc>
          <w:tcPr>
            <w:tcW w:type="dxa" w:w="3118"/>
            <w:shd w:val="clear" w:color="auto" w:fill="FFFFFF"/>
          </w:tcPr>
          <w:p>
            <w:pPr>
              <w:spacing w:before="40" w:after="40"/>
            </w:pPr>
            <w:r>
              <w:rPr>
                <w:b/>
                <w:sz w:val="18"/>
              </w:rPr>
              <w:t>Union Européenne (PASE/PARCIP)</w:t>
            </w:r>
          </w:p>
        </w:tc>
        <w:tc>
          <w:tcPr>
            <w:tcW w:type="dxa" w:w="1417"/>
            <w:shd w:val="clear" w:color="auto" w:fill="FFFFFF"/>
          </w:tcPr>
          <w:p>
            <w:pPr>
              <w:spacing w:before="40" w:after="40"/>
            </w:pPr>
            <w:r>
              <w:rPr>
                <w:sz w:val="18"/>
              </w:rPr>
              <w:t>15–20%</w:t>
            </w:r>
          </w:p>
        </w:tc>
        <w:tc>
          <w:tcPr>
            <w:tcW w:type="dxa" w:w="1701"/>
            <w:shd w:val="clear" w:color="auto" w:fill="FFFFFF"/>
          </w:tcPr>
          <w:p>
            <w:pPr>
              <w:spacing w:before="40" w:after="40"/>
            </w:pPr>
            <w:r>
              <w:rPr>
                <w:sz w:val="18"/>
              </w:rPr>
              <w:t>~60 M FCFA</w:t>
            </w:r>
          </w:p>
        </w:tc>
        <w:tc>
          <w:tcPr>
            <w:tcW w:type="dxa" w:w="2551"/>
            <w:shd w:val="clear" w:color="auto" w:fill="FFFFFF"/>
          </w:tcPr>
          <w:p>
            <w:pPr>
              <w:spacing w:before="40" w:after="40"/>
            </w:pPr>
            <w:r>
              <w:rPr>
                <w:sz w:val="18"/>
              </w:rPr>
              <w:t>Éligibilité réforme administrative</w:t>
            </w:r>
          </w:p>
        </w:tc>
      </w:tr>
      <w:tr>
        <w:tc>
          <w:tcPr>
            <w:tcW w:type="dxa" w:w="3118"/>
            <w:shd w:val="clear" w:color="auto" w:fill="F4F7FB"/>
          </w:tcPr>
          <w:p>
            <w:pPr>
              <w:spacing w:before="40" w:after="40"/>
            </w:pPr>
            <w:r>
              <w:rPr>
                <w:b/>
                <w:sz w:val="18"/>
              </w:rPr>
              <w:t>AFD (modernisation admin. francophone)</w:t>
            </w:r>
          </w:p>
        </w:tc>
        <w:tc>
          <w:tcPr>
            <w:tcW w:type="dxa" w:w="1417"/>
            <w:shd w:val="clear" w:color="auto" w:fill="F4F7FB"/>
          </w:tcPr>
          <w:p>
            <w:pPr>
              <w:spacing w:before="40" w:after="40"/>
            </w:pPr>
            <w:r>
              <w:rPr>
                <w:sz w:val="18"/>
              </w:rPr>
              <w:t>10–15%</w:t>
            </w:r>
          </w:p>
        </w:tc>
        <w:tc>
          <w:tcPr>
            <w:tcW w:type="dxa" w:w="1701"/>
            <w:shd w:val="clear" w:color="auto" w:fill="F4F7FB"/>
          </w:tcPr>
          <w:p>
            <w:pPr>
              <w:spacing w:before="40" w:after="40"/>
            </w:pPr>
            <w:r>
              <w:rPr>
                <w:sz w:val="18"/>
              </w:rPr>
              <w:t>~45 M FCFA</w:t>
            </w:r>
          </w:p>
        </w:tc>
        <w:tc>
          <w:tcPr>
            <w:tcW w:type="dxa" w:w="2551"/>
            <w:shd w:val="clear" w:color="auto" w:fill="F4F7FB"/>
          </w:tcPr>
          <w:p>
            <w:pPr>
              <w:spacing w:before="40" w:after="40"/>
            </w:pPr>
            <w:r>
              <w:rPr>
                <w:sz w:val="18"/>
              </w:rPr>
              <w:t>Convention France-Gabon</w:t>
            </w:r>
          </w:p>
        </w:tc>
      </w:tr>
      <w:tr>
        <w:tc>
          <w:tcPr>
            <w:tcW w:type="dxa" w:w="3118"/>
            <w:shd w:val="clear" w:color="auto" w:fill="FFFFFF"/>
          </w:tcPr>
          <w:p>
            <w:pPr>
              <w:spacing w:before="40" w:after="40"/>
            </w:pPr>
            <w:r>
              <w:rPr>
                <w:b/>
                <w:sz w:val="18"/>
              </w:rPr>
              <w:t>BAD (Technologies pour l'Afrique)</w:t>
            </w:r>
          </w:p>
        </w:tc>
        <w:tc>
          <w:tcPr>
            <w:tcW w:type="dxa" w:w="1417"/>
            <w:shd w:val="clear" w:color="auto" w:fill="FFFFFF"/>
          </w:tcPr>
          <w:p>
            <w:pPr>
              <w:spacing w:before="40" w:after="40"/>
            </w:pPr>
            <w:r>
              <w:rPr>
                <w:sz w:val="18"/>
              </w:rPr>
              <w:t>10–15%</w:t>
            </w:r>
          </w:p>
        </w:tc>
        <w:tc>
          <w:tcPr>
            <w:tcW w:type="dxa" w:w="1701"/>
            <w:shd w:val="clear" w:color="auto" w:fill="FFFFFF"/>
          </w:tcPr>
          <w:p>
            <w:pPr>
              <w:spacing w:before="40" w:after="40"/>
            </w:pPr>
            <w:r>
              <w:rPr>
                <w:sz w:val="18"/>
              </w:rPr>
              <w:t>~40 M FCFA</w:t>
            </w:r>
          </w:p>
        </w:tc>
        <w:tc>
          <w:tcPr>
            <w:tcW w:type="dxa" w:w="2551"/>
            <w:shd w:val="clear" w:color="auto" w:fill="FFFFFF"/>
          </w:tcPr>
          <w:p>
            <w:pPr>
              <w:spacing w:before="40" w:after="40"/>
            </w:pPr>
            <w:r>
              <w:rPr>
                <w:sz w:val="18"/>
              </w:rPr>
              <w:t>Dossier TTA soumis</w:t>
            </w:r>
          </w:p>
        </w:tc>
      </w:tr>
    </w:tbl>
    <w:p/>
    <w:tbl>
      <w:tblPr>
        <w:tblStyle w:val="TableGrid"/>
        <w:tblW w:type="auto" w:w="0"/>
        <w:tblLook w:firstColumn="1" w:firstRow="1" w:lastColumn="0" w:lastRow="0" w:noHBand="0" w:noVBand="1" w:val="04A0"/>
      </w:tblPr>
      <w:tblGrid>
        <w:gridCol w:w="9072"/>
      </w:tblGrid>
      <w:tr>
        <w:tc>
          <w:tcPr>
            <w:tcW w:type="dxa" w:w="9071"/>
            <w:shd w:val="clear" w:color="auto" w:fill="EBF5FF"/>
          </w:tcPr>
          <w:p>
            <w:pPr>
              <w:spacing w:before="80" w:after="80"/>
              <w:ind w:left="170"/>
            </w:pPr>
            <w:r>
              <w:rPr>
                <w:b w:val="0"/>
                <w:color w:val="1A1A2E"/>
                <w:sz w:val="20"/>
              </w:rPr>
              <w:t>La part du budget national peut être réduite à 150–170 M FCFA si les partenaires financiers sont mobilisés en parallèle. Le PNPI est un catalyseur de financement international, pas une charge budgétaire.</w:t>
            </w:r>
          </w:p>
        </w:tc>
      </w:tr>
    </w:tbl>
    <w:p/>
    <w:p>
      <w:r>
        <w:br w:type="page"/>
      </w:r>
    </w:p>
    <w:p>
      <w:pPr>
        <w:keepNext/>
        <w:spacing w:before="360" w:after="120"/>
      </w:pPr>
      <w:r>
        <w:rPr>
          <w:b/>
          <w:color w:val="009440"/>
          <w:sz w:val="26"/>
        </w:rPr>
        <w:t>9. BUDGET DÉTAILLÉ</w:t>
      </w:r>
    </w:p>
    <w:p>
      <w:pPr>
        <w:spacing w:before="80" w:after="80"/>
        <w:pBdr>
          <w:bottom w:val="single" w:sz="8" w:space="1" w:color="009440"/>
        </w:pBdr>
      </w:pPr>
    </w:p>
    <w:p>
      <w:pPr>
        <w:keepNext/>
        <w:spacing w:before="240" w:after="80"/>
      </w:pPr>
      <w:r>
        <w:rPr>
          <w:b/>
          <w:color w:val="003F8F"/>
          <w:sz w:val="22"/>
        </w:rPr>
        <w:t>9.1 CAPEX — Décomposition poste par poste</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454"/>
            <w:shd w:val="clear" w:color="auto" w:fill="003F8F"/>
          </w:tcPr>
          <w:p>
            <w:pPr>
              <w:spacing w:before="60" w:after="60"/>
              <w:jc w:val="center"/>
            </w:pPr>
            <w:r>
              <w:rPr>
                <w:b/>
                <w:color w:val="FFFFFF"/>
                <w:sz w:val="18"/>
              </w:rPr>
              <w:t>#</w:t>
            </w:r>
          </w:p>
        </w:tc>
        <w:tc>
          <w:tcPr>
            <w:tcW w:type="dxa" w:w="2551"/>
            <w:shd w:val="clear" w:color="auto" w:fill="003F8F"/>
          </w:tcPr>
          <w:p>
            <w:pPr>
              <w:spacing w:before="60" w:after="60"/>
              <w:jc w:val="center"/>
            </w:pPr>
            <w:r>
              <w:rPr>
                <w:b/>
                <w:color w:val="FFFFFF"/>
                <w:sz w:val="18"/>
              </w:rPr>
              <w:t>Poste</w:t>
            </w:r>
          </w:p>
        </w:tc>
        <w:tc>
          <w:tcPr>
            <w:tcW w:type="dxa" w:w="3402"/>
            <w:shd w:val="clear" w:color="auto" w:fill="003F8F"/>
          </w:tcPr>
          <w:p>
            <w:pPr>
              <w:spacing w:before="60" w:after="60"/>
              <w:jc w:val="center"/>
            </w:pPr>
            <w:r>
              <w:rPr>
                <w:b/>
                <w:color w:val="FFFFFF"/>
                <w:sz w:val="18"/>
              </w:rPr>
              <w:t>Description</w:t>
            </w:r>
          </w:p>
        </w:tc>
        <w:tc>
          <w:tcPr>
            <w:tcW w:type="dxa" w:w="1701"/>
            <w:shd w:val="clear" w:color="auto" w:fill="003F8F"/>
          </w:tcPr>
          <w:p>
            <w:pPr>
              <w:spacing w:before="60" w:after="60"/>
              <w:jc w:val="center"/>
            </w:pPr>
            <w:r>
              <w:rPr>
                <w:b/>
                <w:color w:val="FFFFFF"/>
                <w:sz w:val="18"/>
              </w:rPr>
              <w:t>Montant FCFA</w:t>
            </w:r>
          </w:p>
        </w:tc>
      </w:tr>
      <w:tr>
        <w:tc>
          <w:tcPr>
            <w:tcW w:type="dxa" w:w="454"/>
            <w:shd w:val="clear" w:color="auto" w:fill="FFFFFF"/>
          </w:tcPr>
          <w:p>
            <w:pPr>
              <w:spacing w:before="40" w:after="40"/>
            </w:pPr>
            <w:r>
              <w:rPr>
                <w:b/>
                <w:sz w:val="18"/>
              </w:rPr>
              <w:t>1</w:t>
            </w:r>
          </w:p>
        </w:tc>
        <w:tc>
          <w:tcPr>
            <w:tcW w:type="dxa" w:w="2551"/>
            <w:shd w:val="clear" w:color="auto" w:fill="FFFFFF"/>
          </w:tcPr>
          <w:p>
            <w:pPr>
              <w:spacing w:before="40" w:after="40"/>
            </w:pPr>
            <w:r>
              <w:rPr>
                <w:sz w:val="18"/>
              </w:rPr>
              <w:t>Cadrage et conception</w:t>
            </w:r>
          </w:p>
        </w:tc>
        <w:tc>
          <w:tcPr>
            <w:tcW w:type="dxa" w:w="3402"/>
            <w:shd w:val="clear" w:color="auto" w:fill="FFFFFF"/>
          </w:tcPr>
          <w:p>
            <w:pPr>
              <w:spacing w:before="40" w:after="40"/>
            </w:pPr>
            <w:r>
              <w:rPr>
                <w:sz w:val="18"/>
              </w:rPr>
              <w:t>UX/UI, architecture, spécifications, maquettes</w:t>
            </w:r>
          </w:p>
        </w:tc>
        <w:tc>
          <w:tcPr>
            <w:tcW w:type="dxa" w:w="1701"/>
            <w:shd w:val="clear" w:color="auto" w:fill="FFFFFF"/>
          </w:tcPr>
          <w:p>
            <w:pPr>
              <w:spacing w:before="40" w:after="40"/>
            </w:pPr>
            <w:r>
              <w:rPr>
                <w:sz w:val="18"/>
              </w:rPr>
              <w:t>28–35 M</w:t>
            </w:r>
          </w:p>
        </w:tc>
      </w:tr>
      <w:tr>
        <w:tc>
          <w:tcPr>
            <w:tcW w:type="dxa" w:w="454"/>
            <w:shd w:val="clear" w:color="auto" w:fill="F4F7FB"/>
          </w:tcPr>
          <w:p>
            <w:pPr>
              <w:spacing w:before="40" w:after="40"/>
            </w:pPr>
            <w:r>
              <w:rPr>
                <w:b/>
                <w:sz w:val="18"/>
              </w:rPr>
              <w:t>2</w:t>
            </w:r>
          </w:p>
        </w:tc>
        <w:tc>
          <w:tcPr>
            <w:tcW w:type="dxa" w:w="2551"/>
            <w:shd w:val="clear" w:color="auto" w:fill="F4F7FB"/>
          </w:tcPr>
          <w:p>
            <w:pPr>
              <w:spacing w:before="40" w:after="40"/>
            </w:pPr>
            <w:r>
              <w:rPr>
                <w:sz w:val="18"/>
              </w:rPr>
              <w:t>Développement Backend</w:t>
            </w:r>
          </w:p>
        </w:tc>
        <w:tc>
          <w:tcPr>
            <w:tcW w:type="dxa" w:w="3402"/>
            <w:shd w:val="clear" w:color="auto" w:fill="F4F7FB"/>
          </w:tcPr>
          <w:p>
            <w:pPr>
              <w:spacing w:before="40" w:after="40"/>
            </w:pPr>
            <w:r>
              <w:rPr>
                <w:sz w:val="18"/>
              </w:rPr>
              <w:t>API FastAPI, BDD PostgreSQL, workflows, sécurité</w:t>
            </w:r>
          </w:p>
        </w:tc>
        <w:tc>
          <w:tcPr>
            <w:tcW w:type="dxa" w:w="1701"/>
            <w:shd w:val="clear" w:color="auto" w:fill="F4F7FB"/>
          </w:tcPr>
          <w:p>
            <w:pPr>
              <w:spacing w:before="40" w:after="40"/>
            </w:pPr>
            <w:r>
              <w:rPr>
                <w:sz w:val="18"/>
              </w:rPr>
              <w:t>65–80 M</w:t>
            </w:r>
          </w:p>
        </w:tc>
      </w:tr>
      <w:tr>
        <w:tc>
          <w:tcPr>
            <w:tcW w:type="dxa" w:w="454"/>
            <w:shd w:val="clear" w:color="auto" w:fill="FFFFFF"/>
          </w:tcPr>
          <w:p>
            <w:pPr>
              <w:spacing w:before="40" w:after="40"/>
            </w:pPr>
            <w:r>
              <w:rPr>
                <w:b/>
                <w:sz w:val="18"/>
              </w:rPr>
              <w:t>3</w:t>
            </w:r>
          </w:p>
        </w:tc>
        <w:tc>
          <w:tcPr>
            <w:tcW w:type="dxa" w:w="2551"/>
            <w:shd w:val="clear" w:color="auto" w:fill="FFFFFF"/>
          </w:tcPr>
          <w:p>
            <w:pPr>
              <w:spacing w:before="40" w:after="40"/>
            </w:pPr>
            <w:r>
              <w:rPr>
                <w:sz w:val="18"/>
              </w:rPr>
              <w:t>Frontend Dashboard</w:t>
            </w:r>
          </w:p>
        </w:tc>
        <w:tc>
          <w:tcPr>
            <w:tcW w:type="dxa" w:w="3402"/>
            <w:shd w:val="clear" w:color="auto" w:fill="FFFFFF"/>
          </w:tcPr>
          <w:p>
            <w:pPr>
              <w:spacing w:before="40" w:after="40"/>
            </w:pPr>
            <w:r>
              <w:rPr>
                <w:sz w:val="18"/>
              </w:rPr>
              <w:t>Next.js, tableaux de bord, cartographie GIS</w:t>
            </w:r>
          </w:p>
        </w:tc>
        <w:tc>
          <w:tcPr>
            <w:tcW w:type="dxa" w:w="1701"/>
            <w:shd w:val="clear" w:color="auto" w:fill="FFFFFF"/>
          </w:tcPr>
          <w:p>
            <w:pPr>
              <w:spacing w:before="40" w:after="40"/>
            </w:pPr>
            <w:r>
              <w:rPr>
                <w:sz w:val="18"/>
              </w:rPr>
              <w:t>45–55 M</w:t>
            </w:r>
          </w:p>
        </w:tc>
      </w:tr>
      <w:tr>
        <w:tc>
          <w:tcPr>
            <w:tcW w:type="dxa" w:w="454"/>
            <w:shd w:val="clear" w:color="auto" w:fill="F4F7FB"/>
          </w:tcPr>
          <w:p>
            <w:pPr>
              <w:spacing w:before="40" w:after="40"/>
            </w:pPr>
            <w:r>
              <w:rPr>
                <w:b/>
                <w:sz w:val="18"/>
              </w:rPr>
              <w:t>4</w:t>
            </w:r>
          </w:p>
        </w:tc>
        <w:tc>
          <w:tcPr>
            <w:tcW w:type="dxa" w:w="2551"/>
            <w:shd w:val="clear" w:color="auto" w:fill="F4F7FB"/>
          </w:tcPr>
          <w:p>
            <w:pPr>
              <w:spacing w:before="40" w:after="40"/>
            </w:pPr>
            <w:r>
              <w:rPr>
                <w:sz w:val="18"/>
              </w:rPr>
              <w:t>Application Mobile</w:t>
            </w:r>
          </w:p>
        </w:tc>
        <w:tc>
          <w:tcPr>
            <w:tcW w:type="dxa" w:w="3402"/>
            <w:shd w:val="clear" w:color="auto" w:fill="F4F7FB"/>
          </w:tcPr>
          <w:p>
            <w:pPr>
              <w:spacing w:before="40" w:after="40"/>
            </w:pPr>
            <w:r>
              <w:rPr>
                <w:sz w:val="18"/>
              </w:rPr>
              <w:t>Flutter (iOS + Android), mode offline, géolocalisation</w:t>
            </w:r>
          </w:p>
        </w:tc>
        <w:tc>
          <w:tcPr>
            <w:tcW w:type="dxa" w:w="1701"/>
            <w:shd w:val="clear" w:color="auto" w:fill="F4F7FB"/>
          </w:tcPr>
          <w:p>
            <w:pPr>
              <w:spacing w:before="40" w:after="40"/>
            </w:pPr>
            <w:r>
              <w:rPr>
                <w:sz w:val="18"/>
              </w:rPr>
              <w:t>28–35 M</w:t>
            </w:r>
          </w:p>
        </w:tc>
      </w:tr>
      <w:tr>
        <w:tc>
          <w:tcPr>
            <w:tcW w:type="dxa" w:w="454"/>
            <w:shd w:val="clear" w:color="auto" w:fill="FFFFFF"/>
          </w:tcPr>
          <w:p>
            <w:pPr>
              <w:spacing w:before="40" w:after="40"/>
            </w:pPr>
            <w:r>
              <w:rPr>
                <w:b/>
                <w:sz w:val="18"/>
              </w:rPr>
              <w:t>5</w:t>
            </w:r>
          </w:p>
        </w:tc>
        <w:tc>
          <w:tcPr>
            <w:tcW w:type="dxa" w:w="2551"/>
            <w:shd w:val="clear" w:color="auto" w:fill="FFFFFF"/>
          </w:tcPr>
          <w:p>
            <w:pPr>
              <w:spacing w:before="40" w:after="40"/>
            </w:pPr>
            <w:r>
              <w:rPr>
                <w:sz w:val="18"/>
              </w:rPr>
              <w:t>Module IA Documentaire</w:t>
            </w:r>
          </w:p>
        </w:tc>
        <w:tc>
          <w:tcPr>
            <w:tcW w:type="dxa" w:w="3402"/>
            <w:shd w:val="clear" w:color="auto" w:fill="FFFFFF"/>
          </w:tcPr>
          <w:p>
            <w:pPr>
              <w:spacing w:before="40" w:after="40"/>
            </w:pPr>
            <w:r>
              <w:rPr>
                <w:sz w:val="18"/>
              </w:rPr>
              <w:t>OCR + NLP pré-instruction automatique</w:t>
            </w:r>
          </w:p>
        </w:tc>
        <w:tc>
          <w:tcPr>
            <w:tcW w:type="dxa" w:w="1701"/>
            <w:shd w:val="clear" w:color="auto" w:fill="FFFFFF"/>
          </w:tcPr>
          <w:p>
            <w:pPr>
              <w:spacing w:before="40" w:after="40"/>
            </w:pPr>
            <w:r>
              <w:rPr>
                <w:sz w:val="18"/>
              </w:rPr>
              <w:t>15–20 M</w:t>
            </w:r>
          </w:p>
        </w:tc>
      </w:tr>
      <w:tr>
        <w:tc>
          <w:tcPr>
            <w:tcW w:type="dxa" w:w="454"/>
            <w:shd w:val="clear" w:color="auto" w:fill="F4F7FB"/>
          </w:tcPr>
          <w:p>
            <w:pPr>
              <w:spacing w:before="40" w:after="40"/>
            </w:pPr>
            <w:r>
              <w:rPr>
                <w:b/>
                <w:sz w:val="18"/>
              </w:rPr>
              <w:t>6</w:t>
            </w:r>
          </w:p>
        </w:tc>
        <w:tc>
          <w:tcPr>
            <w:tcW w:type="dxa" w:w="2551"/>
            <w:shd w:val="clear" w:color="auto" w:fill="F4F7FB"/>
          </w:tcPr>
          <w:p>
            <w:pPr>
              <w:spacing w:before="40" w:after="40"/>
            </w:pPr>
            <w:r>
              <w:rPr>
                <w:sz w:val="18"/>
              </w:rPr>
              <w:t>Signature Électronique (PKI)</w:t>
            </w:r>
          </w:p>
        </w:tc>
        <w:tc>
          <w:tcPr>
            <w:tcW w:type="dxa" w:w="3402"/>
            <w:shd w:val="clear" w:color="auto" w:fill="F4F7FB"/>
          </w:tcPr>
          <w:p>
            <w:pPr>
              <w:spacing w:before="40" w:after="40"/>
            </w:pPr>
            <w:r>
              <w:rPr>
                <w:sz w:val="18"/>
              </w:rPr>
              <w:t>Infrastructure clés, intégration, certification</w:t>
            </w:r>
          </w:p>
        </w:tc>
        <w:tc>
          <w:tcPr>
            <w:tcW w:type="dxa" w:w="1701"/>
            <w:shd w:val="clear" w:color="auto" w:fill="F4F7FB"/>
          </w:tcPr>
          <w:p>
            <w:pPr>
              <w:spacing w:before="40" w:after="40"/>
            </w:pPr>
            <w:r>
              <w:rPr>
                <w:sz w:val="18"/>
              </w:rPr>
              <w:t>20–25 M</w:t>
            </w:r>
          </w:p>
        </w:tc>
      </w:tr>
      <w:tr>
        <w:tc>
          <w:tcPr>
            <w:tcW w:type="dxa" w:w="454"/>
            <w:shd w:val="clear" w:color="auto" w:fill="FFFFFF"/>
          </w:tcPr>
          <w:p>
            <w:pPr>
              <w:spacing w:before="40" w:after="40"/>
            </w:pPr>
            <w:r>
              <w:rPr>
                <w:b/>
                <w:sz w:val="18"/>
              </w:rPr>
              <w:t>7</w:t>
            </w:r>
          </w:p>
        </w:tc>
        <w:tc>
          <w:tcPr>
            <w:tcW w:type="dxa" w:w="2551"/>
            <w:shd w:val="clear" w:color="auto" w:fill="FFFFFF"/>
          </w:tcPr>
          <w:p>
            <w:pPr>
              <w:spacing w:before="40" w:after="40"/>
            </w:pPr>
            <w:r>
              <w:rPr>
                <w:sz w:val="18"/>
              </w:rPr>
              <w:t>Infrastructure et Hébergement</w:t>
            </w:r>
          </w:p>
        </w:tc>
        <w:tc>
          <w:tcPr>
            <w:tcW w:type="dxa" w:w="3402"/>
            <w:shd w:val="clear" w:color="auto" w:fill="FFFFFF"/>
          </w:tcPr>
          <w:p>
            <w:pPr>
              <w:spacing w:before="40" w:after="40"/>
            </w:pPr>
            <w:r>
              <w:rPr>
                <w:sz w:val="18"/>
              </w:rPr>
              <w:t>Serveurs, CDN, stockage, redondance, setup</w:t>
            </w:r>
          </w:p>
        </w:tc>
        <w:tc>
          <w:tcPr>
            <w:tcW w:type="dxa" w:w="1701"/>
            <w:shd w:val="clear" w:color="auto" w:fill="FFFFFF"/>
          </w:tcPr>
          <w:p>
            <w:pPr>
              <w:spacing w:before="40" w:after="40"/>
            </w:pPr>
            <w:r>
              <w:rPr>
                <w:sz w:val="18"/>
              </w:rPr>
              <w:t>42–55 M</w:t>
            </w:r>
          </w:p>
        </w:tc>
      </w:tr>
      <w:tr>
        <w:tc>
          <w:tcPr>
            <w:tcW w:type="dxa" w:w="454"/>
            <w:shd w:val="clear" w:color="auto" w:fill="F4F7FB"/>
          </w:tcPr>
          <w:p>
            <w:pPr>
              <w:spacing w:before="40" w:after="40"/>
            </w:pPr>
            <w:r>
              <w:rPr>
                <w:b/>
                <w:sz w:val="18"/>
              </w:rPr>
              <w:t>8</w:t>
            </w:r>
          </w:p>
        </w:tc>
        <w:tc>
          <w:tcPr>
            <w:tcW w:type="dxa" w:w="2551"/>
            <w:shd w:val="clear" w:color="auto" w:fill="F4F7FB"/>
          </w:tcPr>
          <w:p>
            <w:pPr>
              <w:spacing w:before="40" w:after="40"/>
            </w:pPr>
            <w:r>
              <w:rPr>
                <w:sz w:val="18"/>
              </w:rPr>
              <w:t>Intégrations et API Gateway</w:t>
            </w:r>
          </w:p>
        </w:tc>
        <w:tc>
          <w:tcPr>
            <w:tcW w:type="dxa" w:w="3402"/>
            <w:shd w:val="clear" w:color="auto" w:fill="F4F7FB"/>
          </w:tcPr>
          <w:p>
            <w:pPr>
              <w:spacing w:before="40" w:after="40"/>
            </w:pPr>
            <w:r>
              <w:rPr>
                <w:sz w:val="18"/>
              </w:rPr>
              <w:t>Stubs ANPI, DGI, Douanes + architecture interopérabilité</w:t>
            </w:r>
          </w:p>
        </w:tc>
        <w:tc>
          <w:tcPr>
            <w:tcW w:type="dxa" w:w="1701"/>
            <w:shd w:val="clear" w:color="auto" w:fill="F4F7FB"/>
          </w:tcPr>
          <w:p>
            <w:pPr>
              <w:spacing w:before="40" w:after="40"/>
            </w:pPr>
            <w:r>
              <w:rPr>
                <w:sz w:val="18"/>
              </w:rPr>
              <w:t>22–28 M</w:t>
            </w:r>
          </w:p>
        </w:tc>
      </w:tr>
      <w:tr>
        <w:tc>
          <w:tcPr>
            <w:tcW w:type="dxa" w:w="454"/>
            <w:shd w:val="clear" w:color="auto" w:fill="FFFFFF"/>
          </w:tcPr>
          <w:p>
            <w:pPr>
              <w:spacing w:before="40" w:after="40"/>
            </w:pPr>
            <w:r>
              <w:rPr>
                <w:b/>
                <w:sz w:val="18"/>
              </w:rPr>
              <w:t>9</w:t>
            </w:r>
          </w:p>
        </w:tc>
        <w:tc>
          <w:tcPr>
            <w:tcW w:type="dxa" w:w="2551"/>
            <w:shd w:val="clear" w:color="auto" w:fill="FFFFFF"/>
          </w:tcPr>
          <w:p>
            <w:pPr>
              <w:spacing w:before="40" w:after="40"/>
            </w:pPr>
            <w:r>
              <w:rPr>
                <w:sz w:val="18"/>
              </w:rPr>
              <w:t>Sécurité et Audit initial</w:t>
            </w:r>
          </w:p>
        </w:tc>
        <w:tc>
          <w:tcPr>
            <w:tcW w:type="dxa" w:w="3402"/>
            <w:shd w:val="clear" w:color="auto" w:fill="FFFFFF"/>
          </w:tcPr>
          <w:p>
            <w:pPr>
              <w:spacing w:before="40" w:after="40"/>
            </w:pPr>
            <w:r>
              <w:rPr>
                <w:sz w:val="18"/>
              </w:rPr>
              <w:t>Pentest, hardening, configuration MFA</w:t>
            </w:r>
          </w:p>
        </w:tc>
        <w:tc>
          <w:tcPr>
            <w:tcW w:type="dxa" w:w="1701"/>
            <w:shd w:val="clear" w:color="auto" w:fill="FFFFFF"/>
          </w:tcPr>
          <w:p>
            <w:pPr>
              <w:spacing w:before="40" w:after="40"/>
            </w:pPr>
            <w:r>
              <w:rPr>
                <w:sz w:val="18"/>
              </w:rPr>
              <w:t>15–20 M</w:t>
            </w:r>
          </w:p>
        </w:tc>
      </w:tr>
      <w:tr>
        <w:tc>
          <w:tcPr>
            <w:tcW w:type="dxa" w:w="454"/>
            <w:shd w:val="clear" w:color="auto" w:fill="F4F7FB"/>
          </w:tcPr>
          <w:p>
            <w:pPr>
              <w:spacing w:before="40" w:after="40"/>
            </w:pPr>
            <w:r>
              <w:rPr>
                <w:b/>
                <w:sz w:val="18"/>
              </w:rPr>
              <w:t>10</w:t>
            </w:r>
          </w:p>
        </w:tc>
        <w:tc>
          <w:tcPr>
            <w:tcW w:type="dxa" w:w="2551"/>
            <w:shd w:val="clear" w:color="auto" w:fill="F4F7FB"/>
          </w:tcPr>
          <w:p>
            <w:pPr>
              <w:spacing w:before="40" w:after="40"/>
            </w:pPr>
            <w:r>
              <w:rPr>
                <w:sz w:val="18"/>
              </w:rPr>
              <w:t>Formation</w:t>
            </w:r>
          </w:p>
        </w:tc>
        <w:tc>
          <w:tcPr>
            <w:tcW w:type="dxa" w:w="3402"/>
            <w:shd w:val="clear" w:color="auto" w:fill="F4F7FB"/>
          </w:tcPr>
          <w:p>
            <w:pPr>
              <w:spacing w:before="40" w:after="40"/>
            </w:pPr>
            <w:r>
              <w:rPr>
                <w:sz w:val="18"/>
              </w:rPr>
              <w:t>50+ agents, présentiel + e-learning</w:t>
            </w:r>
          </w:p>
        </w:tc>
        <w:tc>
          <w:tcPr>
            <w:tcW w:type="dxa" w:w="1701"/>
            <w:shd w:val="clear" w:color="auto" w:fill="F4F7FB"/>
          </w:tcPr>
          <w:p>
            <w:pPr>
              <w:spacing w:before="40" w:after="40"/>
            </w:pPr>
            <w:r>
              <w:rPr>
                <w:sz w:val="18"/>
              </w:rPr>
              <w:t>18–22 M</w:t>
            </w:r>
          </w:p>
        </w:tc>
      </w:tr>
      <w:tr>
        <w:tc>
          <w:tcPr>
            <w:tcW w:type="dxa" w:w="454"/>
            <w:shd w:val="clear" w:color="auto" w:fill="FFFFFF"/>
          </w:tcPr>
          <w:p>
            <w:pPr>
              <w:spacing w:before="40" w:after="40"/>
            </w:pPr>
            <w:r>
              <w:rPr>
                <w:b/>
                <w:sz w:val="18"/>
              </w:rPr>
              <w:t>11</w:t>
            </w:r>
          </w:p>
        </w:tc>
        <w:tc>
          <w:tcPr>
            <w:tcW w:type="dxa" w:w="2551"/>
            <w:shd w:val="clear" w:color="auto" w:fill="FFFFFF"/>
          </w:tcPr>
          <w:p>
            <w:pPr>
              <w:spacing w:before="40" w:after="40"/>
            </w:pPr>
            <w:r>
              <w:rPr>
                <w:sz w:val="18"/>
              </w:rPr>
              <w:t>Conduite du Changement</w:t>
            </w:r>
          </w:p>
        </w:tc>
        <w:tc>
          <w:tcPr>
            <w:tcW w:type="dxa" w:w="3402"/>
            <w:shd w:val="clear" w:color="auto" w:fill="FFFFFF"/>
          </w:tcPr>
          <w:p>
            <w:pPr>
              <w:spacing w:before="40" w:after="40"/>
            </w:pPr>
            <w:r>
              <w:rPr>
                <w:sz w:val="18"/>
              </w:rPr>
              <w:t>Communication, accompagnement, sensibilisation PME</w:t>
            </w:r>
          </w:p>
        </w:tc>
        <w:tc>
          <w:tcPr>
            <w:tcW w:type="dxa" w:w="1701"/>
            <w:shd w:val="clear" w:color="auto" w:fill="FFFFFF"/>
          </w:tcPr>
          <w:p>
            <w:pPr>
              <w:spacing w:before="40" w:after="40"/>
            </w:pPr>
            <w:r>
              <w:rPr>
                <w:sz w:val="18"/>
              </w:rPr>
              <w:t>12–15 M</w:t>
            </w:r>
          </w:p>
        </w:tc>
      </w:tr>
      <w:tr>
        <w:tc>
          <w:tcPr>
            <w:tcW w:type="dxa" w:w="454"/>
            <w:shd w:val="clear" w:color="auto" w:fill="F4F7FB"/>
          </w:tcPr>
          <w:p>
            <w:pPr>
              <w:spacing w:before="40" w:after="40"/>
            </w:pPr>
            <w:r>
              <w:rPr>
                <w:b/>
                <w:sz w:val="18"/>
              </w:rPr>
              <w:t>12</w:t>
            </w:r>
          </w:p>
        </w:tc>
        <w:tc>
          <w:tcPr>
            <w:tcW w:type="dxa" w:w="2551"/>
            <w:shd w:val="clear" w:color="auto" w:fill="F4F7FB"/>
          </w:tcPr>
          <w:p>
            <w:pPr>
              <w:spacing w:before="40" w:after="40"/>
            </w:pPr>
            <w:r>
              <w:rPr>
                <w:sz w:val="18"/>
              </w:rPr>
              <w:t>Tests, Recette, Déploiement</w:t>
            </w:r>
          </w:p>
        </w:tc>
        <w:tc>
          <w:tcPr>
            <w:tcW w:type="dxa" w:w="3402"/>
            <w:shd w:val="clear" w:color="auto" w:fill="F4F7FB"/>
          </w:tcPr>
          <w:p>
            <w:pPr>
              <w:spacing w:before="40" w:after="40"/>
            </w:pPr>
            <w:r>
              <w:rPr>
                <w:sz w:val="18"/>
              </w:rPr>
              <w:t>UAT, tests de charge, go-live, hypercare</w:t>
            </w:r>
          </w:p>
        </w:tc>
        <w:tc>
          <w:tcPr>
            <w:tcW w:type="dxa" w:w="1701"/>
            <w:shd w:val="clear" w:color="auto" w:fill="F4F7FB"/>
          </w:tcPr>
          <w:p>
            <w:pPr>
              <w:spacing w:before="40" w:after="40"/>
            </w:pPr>
            <w:r>
              <w:rPr>
                <w:sz w:val="18"/>
              </w:rPr>
              <w:t>15–20 M</w:t>
            </w:r>
          </w:p>
        </w:tc>
      </w:tr>
      <w:tr>
        <w:tc>
          <w:tcPr>
            <w:tcW w:type="dxa" w:w="454"/>
            <w:shd w:val="clear" w:color="auto" w:fill="FFFFFF"/>
          </w:tcPr>
          <w:p>
            <w:pPr>
              <w:spacing w:before="40" w:after="40"/>
            </w:pPr>
            <w:r>
              <w:rPr>
                <w:b/>
                <w:sz w:val="18"/>
              </w:rPr>
              <w:t>13</w:t>
            </w:r>
          </w:p>
        </w:tc>
        <w:tc>
          <w:tcPr>
            <w:tcW w:type="dxa" w:w="2551"/>
            <w:shd w:val="clear" w:color="auto" w:fill="FFFFFF"/>
          </w:tcPr>
          <w:p>
            <w:pPr>
              <w:spacing w:before="40" w:after="40"/>
            </w:pPr>
            <w:r>
              <w:rPr>
                <w:sz w:val="18"/>
              </w:rPr>
              <w:t>Documentation et Transfert</w:t>
            </w:r>
          </w:p>
        </w:tc>
        <w:tc>
          <w:tcPr>
            <w:tcW w:type="dxa" w:w="3402"/>
            <w:shd w:val="clear" w:color="auto" w:fill="FFFFFF"/>
          </w:tcPr>
          <w:p>
            <w:pPr>
              <w:spacing w:before="40" w:after="40"/>
            </w:pPr>
            <w:r>
              <w:rPr>
                <w:sz w:val="18"/>
              </w:rPr>
              <w:t>Manuels, formation formateurs, code source</w:t>
            </w:r>
          </w:p>
        </w:tc>
        <w:tc>
          <w:tcPr>
            <w:tcW w:type="dxa" w:w="1701"/>
            <w:shd w:val="clear" w:color="auto" w:fill="FFFFFF"/>
          </w:tcPr>
          <w:p>
            <w:pPr>
              <w:spacing w:before="40" w:after="40"/>
            </w:pPr>
            <w:r>
              <w:rPr>
                <w:sz w:val="18"/>
              </w:rPr>
              <w:t>8–10 M</w:t>
            </w:r>
          </w:p>
        </w:tc>
      </w:tr>
      <w:tr>
        <w:tc>
          <w:tcPr>
            <w:tcW w:type="dxa" w:w="454"/>
            <w:shd w:val="clear" w:color="auto" w:fill="F4F7FB"/>
          </w:tcPr>
          <w:p>
            <w:pPr>
              <w:spacing w:before="40" w:after="40"/>
            </w:pPr>
            <w:r>
              <w:rPr>
                <w:b/>
                <w:sz w:val="18"/>
              </w:rPr>
              <w:t>14</w:t>
            </w:r>
          </w:p>
        </w:tc>
        <w:tc>
          <w:tcPr>
            <w:tcW w:type="dxa" w:w="2551"/>
            <w:shd w:val="clear" w:color="auto" w:fill="F4F7FB"/>
          </w:tcPr>
          <w:p>
            <w:pPr>
              <w:spacing w:before="40" w:after="40"/>
            </w:pPr>
            <w:r>
              <w:rPr>
                <w:sz w:val="18"/>
              </w:rPr>
              <w:t>Contingence (10%)</w:t>
            </w:r>
          </w:p>
        </w:tc>
        <w:tc>
          <w:tcPr>
            <w:tcW w:type="dxa" w:w="3402"/>
            <w:shd w:val="clear" w:color="auto" w:fill="F4F7FB"/>
          </w:tcPr>
          <w:p>
            <w:pPr>
              <w:spacing w:before="40" w:after="40"/>
            </w:pPr>
            <w:r>
              <w:rPr>
                <w:sz w:val="18"/>
              </w:rPr>
              <w:t>Aléas et imprévus</w:t>
            </w:r>
          </w:p>
        </w:tc>
        <w:tc>
          <w:tcPr>
            <w:tcW w:type="dxa" w:w="1701"/>
            <w:shd w:val="clear" w:color="auto" w:fill="F4F7FB"/>
          </w:tcPr>
          <w:p>
            <w:pPr>
              <w:spacing w:before="40" w:after="40"/>
            </w:pPr>
            <w:r>
              <w:rPr>
                <w:sz w:val="18"/>
              </w:rPr>
              <w:t>33–40 M</w:t>
            </w:r>
          </w:p>
        </w:tc>
      </w:tr>
      <w:tr>
        <w:tc>
          <w:tcPr>
            <w:tcW w:type="dxa" w:w="454"/>
            <w:shd w:val="clear" w:color="auto" w:fill="FFFFFF"/>
          </w:tcPr>
          <w:p>
            <w:pPr>
              <w:spacing w:before="40" w:after="40"/>
            </w:pPr>
            <w:r>
              <w:rPr>
                <w:b/>
                <w:sz w:val="18"/>
              </w:rPr>
            </w:r>
          </w:p>
        </w:tc>
        <w:tc>
          <w:tcPr>
            <w:tcW w:type="dxa" w:w="2551"/>
            <w:shd w:val="clear" w:color="auto" w:fill="FFFFFF"/>
          </w:tcPr>
          <w:p>
            <w:pPr>
              <w:spacing w:before="40" w:after="40"/>
            </w:pPr>
            <w:r>
              <w:rPr>
                <w:sz w:val="18"/>
              </w:rPr>
              <w:t>TOTAL CAPEX</w:t>
            </w:r>
          </w:p>
        </w:tc>
        <w:tc>
          <w:tcPr>
            <w:tcW w:type="dxa" w:w="3402"/>
            <w:shd w:val="clear" w:color="auto" w:fill="FFFFFF"/>
          </w:tcPr>
          <w:p>
            <w:pPr>
              <w:spacing w:before="40" w:after="40"/>
            </w:pPr>
            <w:r>
              <w:rPr>
                <w:sz w:val="18"/>
              </w:rPr>
              <w:t>Scénario de référence : 340–360 M FCFA</w:t>
            </w:r>
          </w:p>
        </w:tc>
        <w:tc>
          <w:tcPr>
            <w:tcW w:type="dxa" w:w="1701"/>
            <w:shd w:val="clear" w:color="auto" w:fill="FFFFFF"/>
          </w:tcPr>
          <w:p>
            <w:pPr>
              <w:spacing w:before="40" w:after="40"/>
            </w:pPr>
            <w:r>
              <w:rPr>
                <w:sz w:val="18"/>
              </w:rPr>
              <w:t>366–460 M</w:t>
            </w:r>
          </w:p>
        </w:tc>
      </w:tr>
    </w:tbl>
    <w:p/>
    <w:p>
      <w:pPr>
        <w:keepNext/>
        <w:spacing w:before="240" w:after="80"/>
      </w:pPr>
      <w:r>
        <w:rPr>
          <w:b/>
          <w:color w:val="003F8F"/>
          <w:sz w:val="22"/>
        </w:rPr>
        <w:t>9.2 OPEX annuel</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009440"/>
          </w:tcPr>
          <w:p>
            <w:pPr>
              <w:spacing w:before="60" w:after="60"/>
              <w:jc w:val="center"/>
            </w:pPr>
            <w:r>
              <w:rPr>
                <w:b/>
                <w:color w:val="FFFFFF"/>
                <w:sz w:val="18"/>
              </w:rPr>
              <w:t>Poste</w:t>
            </w:r>
          </w:p>
        </w:tc>
        <w:tc>
          <w:tcPr>
            <w:tcW w:type="dxa" w:w="3969"/>
            <w:shd w:val="clear" w:color="auto" w:fill="009440"/>
          </w:tcPr>
          <w:p>
            <w:pPr>
              <w:spacing w:before="60" w:after="60"/>
              <w:jc w:val="center"/>
            </w:pPr>
            <w:r>
              <w:rPr>
                <w:b/>
                <w:color w:val="FFFFFF"/>
                <w:sz w:val="18"/>
              </w:rPr>
              <w:t>Description</w:t>
            </w:r>
          </w:p>
        </w:tc>
        <w:tc>
          <w:tcPr>
            <w:tcW w:type="dxa" w:w="1984"/>
            <w:shd w:val="clear" w:color="auto" w:fill="009440"/>
          </w:tcPr>
          <w:p>
            <w:pPr>
              <w:spacing w:before="60" w:after="60"/>
              <w:jc w:val="center"/>
            </w:pPr>
            <w:r>
              <w:rPr>
                <w:b/>
                <w:color w:val="FFFFFF"/>
                <w:sz w:val="18"/>
              </w:rPr>
              <w:t>Montant/an</w:t>
            </w:r>
          </w:p>
        </w:tc>
      </w:tr>
      <w:tr>
        <w:tc>
          <w:tcPr>
            <w:tcW w:type="dxa" w:w="2835"/>
            <w:shd w:val="clear" w:color="auto" w:fill="FFFFFF"/>
          </w:tcPr>
          <w:p>
            <w:pPr>
              <w:spacing w:before="40" w:after="40"/>
            </w:pPr>
            <w:r>
              <w:rPr>
                <w:b/>
                <w:sz w:val="18"/>
              </w:rPr>
              <w:t>Maintenance applicative</w:t>
            </w:r>
          </w:p>
        </w:tc>
        <w:tc>
          <w:tcPr>
            <w:tcW w:type="dxa" w:w="3969"/>
            <w:shd w:val="clear" w:color="auto" w:fill="FFFFFF"/>
          </w:tcPr>
          <w:p>
            <w:pPr>
              <w:spacing w:before="40" w:after="40"/>
            </w:pPr>
            <w:r>
              <w:rPr>
                <w:sz w:val="18"/>
              </w:rPr>
              <w:t>2–3 développeurs demi-temps</w:t>
            </w:r>
          </w:p>
        </w:tc>
        <w:tc>
          <w:tcPr>
            <w:tcW w:type="dxa" w:w="1984"/>
            <w:shd w:val="clear" w:color="auto" w:fill="FFFFFF"/>
          </w:tcPr>
          <w:p>
            <w:pPr>
              <w:spacing w:before="40" w:after="40"/>
            </w:pPr>
            <w:r>
              <w:rPr>
                <w:sz w:val="18"/>
              </w:rPr>
              <w:t>40–50 M</w:t>
            </w:r>
          </w:p>
        </w:tc>
      </w:tr>
      <w:tr>
        <w:tc>
          <w:tcPr>
            <w:tcW w:type="dxa" w:w="2835"/>
            <w:shd w:val="clear" w:color="auto" w:fill="F4F7FB"/>
          </w:tcPr>
          <w:p>
            <w:pPr>
              <w:spacing w:before="40" w:after="40"/>
            </w:pPr>
            <w:r>
              <w:rPr>
                <w:b/>
                <w:sz w:val="18"/>
              </w:rPr>
              <w:t>Hébergement et infrastructure</w:t>
            </w:r>
          </w:p>
        </w:tc>
        <w:tc>
          <w:tcPr>
            <w:tcW w:type="dxa" w:w="3969"/>
            <w:shd w:val="clear" w:color="auto" w:fill="F4F7FB"/>
          </w:tcPr>
          <w:p>
            <w:pPr>
              <w:spacing w:before="40" w:after="40"/>
            </w:pPr>
            <w:r>
              <w:rPr>
                <w:sz w:val="18"/>
              </w:rPr>
              <w:t>Datacenter, licences, CDN</w:t>
            </w:r>
          </w:p>
        </w:tc>
        <w:tc>
          <w:tcPr>
            <w:tcW w:type="dxa" w:w="1984"/>
            <w:shd w:val="clear" w:color="auto" w:fill="F4F7FB"/>
          </w:tcPr>
          <w:p>
            <w:pPr>
              <w:spacing w:before="40" w:after="40"/>
            </w:pPr>
            <w:r>
              <w:rPr>
                <w:sz w:val="18"/>
              </w:rPr>
              <w:t>20–30 M</w:t>
            </w:r>
          </w:p>
        </w:tc>
      </w:tr>
      <w:tr>
        <w:tc>
          <w:tcPr>
            <w:tcW w:type="dxa" w:w="2835"/>
            <w:shd w:val="clear" w:color="auto" w:fill="FFFFFF"/>
          </w:tcPr>
          <w:p>
            <w:pPr>
              <w:spacing w:before="40" w:after="40"/>
            </w:pPr>
            <w:r>
              <w:rPr>
                <w:b/>
                <w:sz w:val="18"/>
              </w:rPr>
              <w:t>Support utilisateurs</w:t>
            </w:r>
          </w:p>
        </w:tc>
        <w:tc>
          <w:tcPr>
            <w:tcW w:type="dxa" w:w="3969"/>
            <w:shd w:val="clear" w:color="auto" w:fill="FFFFFF"/>
          </w:tcPr>
          <w:p>
            <w:pPr>
              <w:spacing w:before="40" w:after="40"/>
            </w:pPr>
            <w:r>
              <w:rPr>
                <w:sz w:val="18"/>
              </w:rPr>
              <w:t>Hotline N1/N2, assistance agents</w:t>
            </w:r>
          </w:p>
        </w:tc>
        <w:tc>
          <w:tcPr>
            <w:tcW w:type="dxa" w:w="1984"/>
            <w:shd w:val="clear" w:color="auto" w:fill="FFFFFF"/>
          </w:tcPr>
          <w:p>
            <w:pPr>
              <w:spacing w:before="40" w:after="40"/>
            </w:pPr>
            <w:r>
              <w:rPr>
                <w:sz w:val="18"/>
              </w:rPr>
              <w:t>15–20 M</w:t>
            </w:r>
          </w:p>
        </w:tc>
      </w:tr>
      <w:tr>
        <w:tc>
          <w:tcPr>
            <w:tcW w:type="dxa" w:w="2835"/>
            <w:shd w:val="clear" w:color="auto" w:fill="F4F7FB"/>
          </w:tcPr>
          <w:p>
            <w:pPr>
              <w:spacing w:before="40" w:after="40"/>
            </w:pPr>
            <w:r>
              <w:rPr>
                <w:b/>
                <w:sz w:val="18"/>
              </w:rPr>
              <w:t>Évolutions fonctionnelles</w:t>
            </w:r>
          </w:p>
        </w:tc>
        <w:tc>
          <w:tcPr>
            <w:tcW w:type="dxa" w:w="3969"/>
            <w:shd w:val="clear" w:color="auto" w:fill="F4F7FB"/>
          </w:tcPr>
          <w:p>
            <w:pPr>
              <w:spacing w:before="40" w:after="40"/>
            </w:pPr>
            <w:r>
              <w:rPr>
                <w:sz w:val="18"/>
              </w:rPr>
              <w:t>Nouvelles fonctionnalités, adaptations</w:t>
            </w:r>
          </w:p>
        </w:tc>
        <w:tc>
          <w:tcPr>
            <w:tcW w:type="dxa" w:w="1984"/>
            <w:shd w:val="clear" w:color="auto" w:fill="F4F7FB"/>
          </w:tcPr>
          <w:p>
            <w:pPr>
              <w:spacing w:before="40" w:after="40"/>
            </w:pPr>
            <w:r>
              <w:rPr>
                <w:sz w:val="18"/>
              </w:rPr>
              <w:t>20–25 M</w:t>
            </w:r>
          </w:p>
        </w:tc>
      </w:tr>
      <w:tr>
        <w:tc>
          <w:tcPr>
            <w:tcW w:type="dxa" w:w="2835"/>
            <w:shd w:val="clear" w:color="auto" w:fill="FFFFFF"/>
          </w:tcPr>
          <w:p>
            <w:pPr>
              <w:spacing w:before="40" w:after="40"/>
            </w:pPr>
            <w:r>
              <w:rPr>
                <w:b/>
                <w:sz w:val="18"/>
              </w:rPr>
              <w:t>Sécurité continue</w:t>
            </w:r>
          </w:p>
        </w:tc>
        <w:tc>
          <w:tcPr>
            <w:tcW w:type="dxa" w:w="3969"/>
            <w:shd w:val="clear" w:color="auto" w:fill="FFFFFF"/>
          </w:tcPr>
          <w:p>
            <w:pPr>
              <w:spacing w:before="40" w:after="40"/>
            </w:pPr>
            <w:r>
              <w:rPr>
                <w:sz w:val="18"/>
              </w:rPr>
              <w:t>Pentest annuel, veille, mises à jour</w:t>
            </w:r>
          </w:p>
        </w:tc>
        <w:tc>
          <w:tcPr>
            <w:tcW w:type="dxa" w:w="1984"/>
            <w:shd w:val="clear" w:color="auto" w:fill="FFFFFF"/>
          </w:tcPr>
          <w:p>
            <w:pPr>
              <w:spacing w:before="40" w:after="40"/>
            </w:pPr>
            <w:r>
              <w:rPr>
                <w:sz w:val="18"/>
              </w:rPr>
              <w:t>10–15 M</w:t>
            </w:r>
          </w:p>
        </w:tc>
      </w:tr>
      <w:tr>
        <w:tc>
          <w:tcPr>
            <w:tcW w:type="dxa" w:w="2835"/>
            <w:shd w:val="clear" w:color="auto" w:fill="F4F7FB"/>
          </w:tcPr>
          <w:p>
            <w:pPr>
              <w:spacing w:before="40" w:after="40"/>
            </w:pPr>
            <w:r>
              <w:rPr>
                <w:b/>
                <w:sz w:val="18"/>
              </w:rPr>
              <w:t>Formation continue</w:t>
            </w:r>
          </w:p>
        </w:tc>
        <w:tc>
          <w:tcPr>
            <w:tcW w:type="dxa" w:w="3969"/>
            <w:shd w:val="clear" w:color="auto" w:fill="F4F7FB"/>
          </w:tcPr>
          <w:p>
            <w:pPr>
              <w:spacing w:before="40" w:after="40"/>
            </w:pPr>
            <w:r>
              <w:rPr>
                <w:sz w:val="18"/>
              </w:rPr>
              <w:t>Nouveaux agents, nouvelles fonctionnalités</w:t>
            </w:r>
          </w:p>
        </w:tc>
        <w:tc>
          <w:tcPr>
            <w:tcW w:type="dxa" w:w="1984"/>
            <w:shd w:val="clear" w:color="auto" w:fill="F4F7FB"/>
          </w:tcPr>
          <w:p>
            <w:pPr>
              <w:spacing w:before="40" w:after="40"/>
            </w:pPr>
            <w:r>
              <w:rPr>
                <w:sz w:val="18"/>
              </w:rPr>
              <w:t>5–8 M</w:t>
            </w:r>
          </w:p>
        </w:tc>
      </w:tr>
      <w:tr>
        <w:tc>
          <w:tcPr>
            <w:tcW w:type="dxa" w:w="2835"/>
            <w:shd w:val="clear" w:color="auto" w:fill="FFFFFF"/>
          </w:tcPr>
          <w:p>
            <w:pPr>
              <w:spacing w:before="40" w:after="40"/>
            </w:pPr>
            <w:r>
              <w:rPr>
                <w:b/>
                <w:sz w:val="18"/>
              </w:rPr>
              <w:t>TOTAL OPEX</w:t>
            </w:r>
          </w:p>
        </w:tc>
        <w:tc>
          <w:tcPr>
            <w:tcW w:type="dxa" w:w="3969"/>
            <w:shd w:val="clear" w:color="auto" w:fill="FFFFFF"/>
          </w:tcPr>
          <w:p>
            <w:pPr>
              <w:spacing w:before="40" w:after="40"/>
            </w:pPr>
            <w:r>
              <w:rPr>
                <w:sz w:val="18"/>
              </w:rPr>
              <w:t>Scénario de référence : 120–130 M FCFA/an</w:t>
            </w:r>
          </w:p>
        </w:tc>
        <w:tc>
          <w:tcPr>
            <w:tcW w:type="dxa" w:w="1984"/>
            <w:shd w:val="clear" w:color="auto" w:fill="FFFFFF"/>
          </w:tcPr>
          <w:p>
            <w:pPr>
              <w:spacing w:before="40" w:after="40"/>
            </w:pPr>
            <w:r>
              <w:rPr>
                <w:sz w:val="18"/>
              </w:rPr>
              <w:t>110–148 M</w:t>
            </w:r>
          </w:p>
        </w:tc>
      </w:tr>
    </w:tbl>
    <w:p/>
    <w:p>
      <w:pPr>
        <w:keepNext/>
        <w:spacing w:before="240" w:after="80"/>
      </w:pPr>
      <w:r>
        <w:rPr>
          <w:b/>
          <w:color w:val="003F8F"/>
          <w:sz w:val="22"/>
        </w:rPr>
        <w:t>9.3 Validation du budget par les comparatifs de marché</w:t>
      </w:r>
    </w:p>
    <w:p>
      <w:pPr>
        <w:pStyle w:val="ListBullet"/>
        <w:spacing w:before="20" w:after="60"/>
        <w:ind w:left="283"/>
      </w:pPr>
      <w:r>
        <w:rPr>
          <w:b/>
          <w:color w:val="003F8F"/>
        </w:rPr>
        <w:t>Irembo Rwanda :</w:t>
      </w:r>
      <w:r>
        <w:t xml:space="preserve"> 1,5 Mds FCFA pour 100 services → PNPI est ~4x moins cher pour un périmètre spécialisé. ✅</w:t>
      </w:r>
    </w:p>
    <w:p>
      <w:pPr>
        <w:pStyle w:val="ListBullet"/>
        <w:spacing w:before="20" w:after="60"/>
        <w:ind w:left="283"/>
      </w:pPr>
      <w:r>
        <w:rPr>
          <w:b/>
          <w:color w:val="003F8F"/>
        </w:rPr>
        <w:t>CFE Sénégal :</w:t>
      </w:r>
      <w:r>
        <w:t xml:space="preserve"> ~800 M FCFA périmètre plus large → PNPI ~50% moins cher. ✅</w:t>
      </w:r>
    </w:p>
    <w:p>
      <w:pPr>
        <w:pStyle w:val="ListBullet"/>
        <w:spacing w:before="20" w:after="60"/>
        <w:ind w:left="283"/>
      </w:pPr>
      <w:r>
        <w:rPr>
          <w:b/>
          <w:color w:val="003F8F"/>
        </w:rPr>
        <w:t>Cabinet international (Deloitte/Capgemini) :</w:t>
      </w:r>
      <w:r>
        <w:t xml:space="preserve"> 600 M–1 Mds FCFA pour équivalent → PNPI 40–50% d'économie. ✅</w:t>
      </w:r>
    </w:p>
    <w:p>
      <w:r>
        <w:br w:type="page"/>
      </w:r>
    </w:p>
    <w:p>
      <w:pPr>
        <w:keepNext/>
        <w:spacing w:before="360" w:after="120"/>
      </w:pPr>
      <w:r>
        <w:rPr>
          <w:b/>
          <w:color w:val="009440"/>
          <w:sz w:val="26"/>
        </w:rPr>
        <w:t>10. PLAN DE MISE EN ŒUVRE (12 MOIS)</w:t>
      </w:r>
    </w:p>
    <w:p>
      <w:pPr>
        <w:spacing w:before="80" w:after="80"/>
        <w:pBdr>
          <w:bottom w:val="single" w:sz="8" w:space="1" w:color="009440"/>
        </w:pBdr>
      </w:pP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701"/>
            <w:shd w:val="clear" w:color="auto" w:fill="009440"/>
          </w:tcPr>
          <w:p>
            <w:pPr>
              <w:spacing w:before="60" w:after="60"/>
              <w:jc w:val="center"/>
            </w:pPr>
            <w:r>
              <w:rPr>
                <w:b/>
                <w:color w:val="FFFFFF"/>
                <w:sz w:val="18"/>
              </w:rPr>
              <w:t>Phase</w:t>
            </w:r>
          </w:p>
        </w:tc>
        <w:tc>
          <w:tcPr>
            <w:tcW w:type="dxa" w:w="1134"/>
            <w:shd w:val="clear" w:color="auto" w:fill="009440"/>
          </w:tcPr>
          <w:p>
            <w:pPr>
              <w:spacing w:before="60" w:after="60"/>
              <w:jc w:val="center"/>
            </w:pPr>
            <w:r>
              <w:rPr>
                <w:b/>
                <w:color w:val="FFFFFF"/>
                <w:sz w:val="18"/>
              </w:rPr>
              <w:t>Mois</w:t>
            </w:r>
          </w:p>
        </w:tc>
        <w:tc>
          <w:tcPr>
            <w:tcW w:type="dxa" w:w="3969"/>
            <w:shd w:val="clear" w:color="auto" w:fill="009440"/>
          </w:tcPr>
          <w:p>
            <w:pPr>
              <w:spacing w:before="60" w:after="60"/>
              <w:jc w:val="center"/>
            </w:pPr>
            <w:r>
              <w:rPr>
                <w:b/>
                <w:color w:val="FFFFFF"/>
                <w:sz w:val="18"/>
              </w:rPr>
              <w:t>Activités principales</w:t>
            </w:r>
          </w:p>
        </w:tc>
        <w:tc>
          <w:tcPr>
            <w:tcW w:type="dxa" w:w="2268"/>
            <w:shd w:val="clear" w:color="auto" w:fill="009440"/>
          </w:tcPr>
          <w:p>
            <w:pPr>
              <w:spacing w:before="60" w:after="60"/>
              <w:jc w:val="center"/>
            </w:pPr>
            <w:r>
              <w:rPr>
                <w:b/>
                <w:color w:val="FFFFFF"/>
                <w:sz w:val="18"/>
              </w:rPr>
              <w:t>Livrable clé</w:t>
            </w:r>
          </w:p>
        </w:tc>
      </w:tr>
      <w:tr>
        <w:tc>
          <w:tcPr>
            <w:tcW w:type="dxa" w:w="1701"/>
            <w:shd w:val="clear" w:color="auto" w:fill="FFFFFF"/>
          </w:tcPr>
          <w:p>
            <w:pPr>
              <w:spacing w:before="40" w:after="40"/>
            </w:pPr>
            <w:r>
              <w:rPr>
                <w:b/>
                <w:sz w:val="18"/>
              </w:rPr>
              <w:t>M1–M2</w:t>
              <w:br/>
              <w:t>CADRAGE</w:t>
            </w:r>
          </w:p>
        </w:tc>
        <w:tc>
          <w:tcPr>
            <w:tcW w:type="dxa" w:w="1134"/>
            <w:shd w:val="clear" w:color="auto" w:fill="FFFFFF"/>
          </w:tcPr>
          <w:p>
            <w:pPr>
              <w:spacing w:before="40" w:after="40"/>
            </w:pPr>
            <w:r>
              <w:rPr>
                <w:sz w:val="18"/>
              </w:rPr>
              <w:t>Mois 1–2</w:t>
            </w:r>
          </w:p>
        </w:tc>
        <w:tc>
          <w:tcPr>
            <w:tcW w:type="dxa" w:w="3969"/>
            <w:shd w:val="clear" w:color="auto" w:fill="FFFFFF"/>
          </w:tcPr>
          <w:p>
            <w:pPr>
              <w:spacing w:before="40" w:after="40"/>
            </w:pPr>
            <w:r>
              <w:rPr>
                <w:sz w:val="18"/>
              </w:rPr>
              <w:t>Spécifications, UX/UI, architecture, constitution équipe</w:t>
            </w:r>
          </w:p>
        </w:tc>
        <w:tc>
          <w:tcPr>
            <w:tcW w:type="dxa" w:w="2268"/>
            <w:shd w:val="clear" w:color="auto" w:fill="FFFFFF"/>
          </w:tcPr>
          <w:p>
            <w:pPr>
              <w:spacing w:before="40" w:after="40"/>
            </w:pPr>
            <w:r>
              <w:rPr>
                <w:sz w:val="18"/>
              </w:rPr>
              <w:t>Cahier des charges validé + maquettes</w:t>
            </w:r>
          </w:p>
        </w:tc>
      </w:tr>
      <w:tr>
        <w:tc>
          <w:tcPr>
            <w:tcW w:type="dxa" w:w="1701"/>
            <w:shd w:val="clear" w:color="auto" w:fill="F4F7FB"/>
          </w:tcPr>
          <w:p>
            <w:pPr>
              <w:spacing w:before="40" w:after="40"/>
            </w:pPr>
            <w:r>
              <w:rPr>
                <w:b/>
                <w:sz w:val="18"/>
              </w:rPr>
              <w:t>M3–M5</w:t>
              <w:br/>
              <w:t>BUILD MVP</w:t>
            </w:r>
          </w:p>
        </w:tc>
        <w:tc>
          <w:tcPr>
            <w:tcW w:type="dxa" w:w="1134"/>
            <w:shd w:val="clear" w:color="auto" w:fill="F4F7FB"/>
          </w:tcPr>
          <w:p>
            <w:pPr>
              <w:spacing w:before="40" w:after="40"/>
            </w:pPr>
            <w:r>
              <w:rPr>
                <w:sz w:val="18"/>
              </w:rPr>
              <w:t>Mois 3–5</w:t>
            </w:r>
          </w:p>
        </w:tc>
        <w:tc>
          <w:tcPr>
            <w:tcW w:type="dxa" w:w="3969"/>
            <w:shd w:val="clear" w:color="auto" w:fill="F4F7FB"/>
          </w:tcPr>
          <w:p>
            <w:pPr>
              <w:spacing w:before="40" w:after="40"/>
            </w:pPr>
            <w:r>
              <w:rPr>
                <w:sz w:val="18"/>
              </w:rPr>
              <w:t>Développement Modules 1–3 (Guichet, Workflow ATI, DIU)</w:t>
            </w:r>
          </w:p>
        </w:tc>
        <w:tc>
          <w:tcPr>
            <w:tcW w:type="dxa" w:w="2268"/>
            <w:shd w:val="clear" w:color="auto" w:fill="F4F7FB"/>
          </w:tcPr>
          <w:p>
            <w:pPr>
              <w:spacing w:before="40" w:after="40"/>
            </w:pPr>
            <w:r>
              <w:rPr>
                <w:sz w:val="18"/>
              </w:rPr>
              <w:t>MVP fonctionnel + tests</w:t>
            </w:r>
          </w:p>
        </w:tc>
      </w:tr>
      <w:tr>
        <w:tc>
          <w:tcPr>
            <w:tcW w:type="dxa" w:w="1701"/>
            <w:shd w:val="clear" w:color="auto" w:fill="FFFFFF"/>
          </w:tcPr>
          <w:p>
            <w:pPr>
              <w:spacing w:before="40" w:after="40"/>
            </w:pPr>
            <w:r>
              <w:rPr>
                <w:b/>
                <w:sz w:val="18"/>
              </w:rPr>
              <w:t>M6–M7</w:t>
              <w:br/>
              <w:t>PILOTE</w:t>
            </w:r>
          </w:p>
        </w:tc>
        <w:tc>
          <w:tcPr>
            <w:tcW w:type="dxa" w:w="1134"/>
            <w:shd w:val="clear" w:color="auto" w:fill="FFFFFF"/>
          </w:tcPr>
          <w:p>
            <w:pPr>
              <w:spacing w:before="40" w:after="40"/>
            </w:pPr>
            <w:r>
              <w:rPr>
                <w:sz w:val="18"/>
              </w:rPr>
              <w:t>Mois 6–7</w:t>
            </w:r>
          </w:p>
        </w:tc>
        <w:tc>
          <w:tcPr>
            <w:tcW w:type="dxa" w:w="3969"/>
            <w:shd w:val="clear" w:color="auto" w:fill="FFFFFF"/>
          </w:tcPr>
          <w:p>
            <w:pPr>
              <w:spacing w:before="40" w:after="40"/>
            </w:pPr>
            <w:r>
              <w:rPr>
                <w:sz w:val="18"/>
              </w:rPr>
              <w:t>Pilote opérationnel ATI + dashboard avec données réelles</w:t>
            </w:r>
          </w:p>
        </w:tc>
        <w:tc>
          <w:tcPr>
            <w:tcW w:type="dxa" w:w="2268"/>
            <w:shd w:val="clear" w:color="auto" w:fill="FFFFFF"/>
          </w:tcPr>
          <w:p>
            <w:pPr>
              <w:spacing w:before="40" w:after="40"/>
            </w:pPr>
            <w:r>
              <w:rPr>
                <w:sz w:val="18"/>
              </w:rPr>
              <w:t>50 dossiers ATI traités sur la plateforme</w:t>
            </w:r>
          </w:p>
        </w:tc>
      </w:tr>
      <w:tr>
        <w:tc>
          <w:tcPr>
            <w:tcW w:type="dxa" w:w="1701"/>
            <w:shd w:val="clear" w:color="auto" w:fill="F4F7FB"/>
          </w:tcPr>
          <w:p>
            <w:pPr>
              <w:spacing w:before="40" w:after="40"/>
            </w:pPr>
            <w:r>
              <w:rPr>
                <w:b/>
                <w:sz w:val="18"/>
              </w:rPr>
              <w:t>M8–M10</w:t>
              <w:br/>
              <w:t>STABILISATION</w:t>
            </w:r>
          </w:p>
        </w:tc>
        <w:tc>
          <w:tcPr>
            <w:tcW w:type="dxa" w:w="1134"/>
            <w:shd w:val="clear" w:color="auto" w:fill="F4F7FB"/>
          </w:tcPr>
          <w:p>
            <w:pPr>
              <w:spacing w:before="40" w:after="40"/>
            </w:pPr>
            <w:r>
              <w:rPr>
                <w:sz w:val="18"/>
              </w:rPr>
              <w:t>Mois 8–10</w:t>
            </w:r>
          </w:p>
        </w:tc>
        <w:tc>
          <w:tcPr>
            <w:tcW w:type="dxa" w:w="3969"/>
            <w:shd w:val="clear" w:color="auto" w:fill="F4F7FB"/>
          </w:tcPr>
          <w:p>
            <w:pPr>
              <w:spacing w:before="40" w:after="40"/>
            </w:pPr>
            <w:r>
              <w:rPr>
                <w:sz w:val="18"/>
              </w:rPr>
              <w:t>Modules 4–6 (BI, Conformité, Admin), montée en charge</w:t>
            </w:r>
          </w:p>
        </w:tc>
        <w:tc>
          <w:tcPr>
            <w:tcW w:type="dxa" w:w="2268"/>
            <w:shd w:val="clear" w:color="auto" w:fill="F4F7FB"/>
          </w:tcPr>
          <w:p>
            <w:pPr>
              <w:spacing w:before="40" w:after="40"/>
            </w:pPr>
            <w:r>
              <w:rPr>
                <w:sz w:val="18"/>
              </w:rPr>
              <w:t>Plateforme complète opérationnelle</w:t>
            </w:r>
          </w:p>
        </w:tc>
      </w:tr>
      <w:tr>
        <w:tc>
          <w:tcPr>
            <w:tcW w:type="dxa" w:w="1701"/>
            <w:shd w:val="clear" w:color="auto" w:fill="FFFFFF"/>
          </w:tcPr>
          <w:p>
            <w:pPr>
              <w:spacing w:before="40" w:after="40"/>
            </w:pPr>
            <w:r>
              <w:rPr>
                <w:b/>
                <w:sz w:val="18"/>
              </w:rPr>
              <w:t>M11–M12</w:t>
              <w:br/>
              <w:t>EXTENSION</w:t>
            </w:r>
          </w:p>
        </w:tc>
        <w:tc>
          <w:tcPr>
            <w:tcW w:type="dxa" w:w="1134"/>
            <w:shd w:val="clear" w:color="auto" w:fill="FFFFFF"/>
          </w:tcPr>
          <w:p>
            <w:pPr>
              <w:spacing w:before="40" w:after="40"/>
            </w:pPr>
            <w:r>
              <w:rPr>
                <w:sz w:val="18"/>
              </w:rPr>
              <w:t>Mois 11–12</w:t>
            </w:r>
          </w:p>
        </w:tc>
        <w:tc>
          <w:tcPr>
            <w:tcW w:type="dxa" w:w="3969"/>
            <w:shd w:val="clear" w:color="auto" w:fill="FFFFFF"/>
          </w:tcPr>
          <w:p>
            <w:pPr>
              <w:spacing w:before="40" w:after="40"/>
            </w:pPr>
            <w:r>
              <w:rPr>
                <w:sz w:val="18"/>
              </w:rPr>
              <w:t>Formation complète, transfert de compétences, bilan, V2 planifiée</w:t>
            </w:r>
          </w:p>
        </w:tc>
        <w:tc>
          <w:tcPr>
            <w:tcW w:type="dxa" w:w="2268"/>
            <w:shd w:val="clear" w:color="auto" w:fill="FFFFFF"/>
          </w:tcPr>
          <w:p>
            <w:pPr>
              <w:spacing w:before="40" w:after="40"/>
            </w:pPr>
            <w:r>
              <w:rPr>
                <w:sz w:val="18"/>
              </w:rPr>
              <w:t>100% dossiers ATI sur la plateforme</w:t>
            </w:r>
          </w:p>
        </w:tc>
      </w:tr>
    </w:tbl>
    <w:p/>
    <w:p>
      <w:pPr>
        <w:keepNext/>
        <w:spacing w:before="240" w:after="80"/>
      </w:pPr>
      <w:r>
        <w:rPr>
          <w:b/>
          <w:color w:val="003F8F"/>
          <w:sz w:val="22"/>
        </w:rPr>
        <w:t>Critères de passage de phase</w:t>
      </w:r>
    </w:p>
    <w:p>
      <w:pPr>
        <w:keepNext/>
        <w:spacing w:before="160" w:after="60"/>
      </w:pPr>
      <w:r>
        <w:rPr>
          <w:b/>
          <w:color w:val="1A1A2E"/>
          <w:sz w:val="21"/>
        </w:rPr>
        <w:t>Passage M2→M3</w:t>
      </w:r>
    </w:p>
    <w:p>
      <w:pPr>
        <w:pStyle w:val="ListBullet"/>
        <w:spacing w:before="20" w:after="60"/>
        <w:ind w:left="283"/>
      </w:pPr>
      <w:r>
        <w:t>Cahier des charges signé</w:t>
      </w:r>
    </w:p>
    <w:p>
      <w:pPr>
        <w:pStyle w:val="ListBullet"/>
        <w:spacing w:before="20" w:after="60"/>
        <w:ind w:left="283"/>
      </w:pPr>
      <w:r>
        <w:t>Équipe projet constituée et opérationnelle</w:t>
      </w:r>
    </w:p>
    <w:p>
      <w:pPr>
        <w:pStyle w:val="ListBullet"/>
        <w:spacing w:before="20" w:after="60"/>
        <w:ind w:left="283"/>
      </w:pPr>
      <w:r>
        <w:t>Infrastructure de développement opérationnelle</w:t>
      </w:r>
    </w:p>
    <w:p>
      <w:pPr>
        <w:pStyle w:val="ListBullet"/>
        <w:spacing w:before="20" w:after="60"/>
        <w:ind w:left="283"/>
      </w:pPr>
      <w:r>
        <w:t>Budget validé et engagé</w:t>
      </w:r>
    </w:p>
    <w:p>
      <w:pPr>
        <w:keepNext/>
        <w:spacing w:before="160" w:after="60"/>
      </w:pPr>
      <w:r>
        <w:rPr>
          <w:b/>
          <w:color w:val="1A1A2E"/>
          <w:sz w:val="21"/>
        </w:rPr>
        <w:t>Passage M5→M6</w:t>
      </w:r>
    </w:p>
    <w:p>
      <w:pPr>
        <w:pStyle w:val="ListBullet"/>
        <w:spacing w:before="20" w:after="60"/>
        <w:ind w:left="283"/>
      </w:pPr>
      <w:r>
        <w:t>MVP démontré et validé par les référents métier</w:t>
      </w:r>
    </w:p>
    <w:p>
      <w:pPr>
        <w:pStyle w:val="ListBullet"/>
        <w:spacing w:before="20" w:after="60"/>
        <w:ind w:left="283"/>
      </w:pPr>
      <w:r>
        <w:t>Formation des agents pilotes réalisée</w:t>
      </w:r>
    </w:p>
    <w:p>
      <w:pPr>
        <w:pStyle w:val="ListBullet"/>
        <w:spacing w:before="20" w:after="60"/>
        <w:ind w:left="283"/>
      </w:pPr>
      <w:r>
        <w:t>0 anomalie bloquante en recette fonctionnelle</w:t>
      </w:r>
    </w:p>
    <w:p>
      <w:pPr>
        <w:keepNext/>
        <w:spacing w:before="160" w:after="60"/>
      </w:pPr>
      <w:r>
        <w:rPr>
          <w:b/>
          <w:color w:val="1A1A2E"/>
          <w:sz w:val="21"/>
        </w:rPr>
        <w:t>Passage M7→M8</w:t>
      </w:r>
    </w:p>
    <w:p>
      <w:pPr>
        <w:pStyle w:val="ListBullet"/>
        <w:spacing w:before="20" w:after="60"/>
        <w:ind w:left="283"/>
      </w:pPr>
      <w:r>
        <w:t>50 dossiers ATI traités sans incident majeur</w:t>
      </w:r>
    </w:p>
    <w:p>
      <w:pPr>
        <w:pStyle w:val="ListBullet"/>
        <w:spacing w:before="20" w:after="60"/>
        <w:ind w:left="283"/>
      </w:pPr>
      <w:r>
        <w:t>KPIs pilote atteints : délai &lt; 20 jours, dossiers complets &gt; 70%</w:t>
      </w:r>
    </w:p>
    <w:p>
      <w:pPr>
        <w:pStyle w:val="ListBullet"/>
        <w:spacing w:before="20" w:after="60"/>
        <w:ind w:left="283"/>
      </w:pPr>
      <w:r>
        <w:t>Satisfaction agents instructeurs &gt; 70%</w:t>
      </w:r>
    </w:p>
    <w:p>
      <w:pPr>
        <w:keepNext/>
        <w:spacing w:before="160" w:after="60"/>
      </w:pPr>
      <w:r>
        <w:rPr>
          <w:b/>
          <w:color w:val="1A1A2E"/>
          <w:sz w:val="21"/>
        </w:rPr>
        <w:t>Passage M12 — Validation finale</w:t>
      </w:r>
    </w:p>
    <w:p>
      <w:pPr>
        <w:pStyle w:val="ListBullet"/>
        <w:spacing w:before="20" w:after="60"/>
        <w:ind w:left="283"/>
      </w:pPr>
      <w:r>
        <w:t>100% des nouveaux dossiers ATI via PNPI</w:t>
      </w:r>
    </w:p>
    <w:p>
      <w:pPr>
        <w:pStyle w:val="ListBullet"/>
        <w:spacing w:before="20" w:after="60"/>
        <w:ind w:left="283"/>
      </w:pPr>
      <w:r>
        <w:t>Disponibilité applicative &gt; 99,5%</w:t>
      </w:r>
    </w:p>
    <w:p>
      <w:pPr>
        <w:pStyle w:val="ListBullet"/>
        <w:spacing w:before="20" w:after="60"/>
        <w:ind w:left="283"/>
      </w:pPr>
      <w:r>
        <w:t>Formation 100% agents complétée</w:t>
      </w:r>
    </w:p>
    <w:p>
      <w:pPr>
        <w:pStyle w:val="ListBullet"/>
        <w:spacing w:before="20" w:after="60"/>
        <w:ind w:left="283"/>
      </w:pPr>
      <w:r>
        <w:t>PCA/PRA testés et validés</w:t>
      </w:r>
    </w:p>
    <w:p>
      <w:r>
        <w:br w:type="page"/>
      </w:r>
    </w:p>
    <w:p>
      <w:pPr>
        <w:keepNext/>
        <w:spacing w:before="360" w:after="120"/>
      </w:pPr>
      <w:r>
        <w:rPr>
          <w:b/>
          <w:color w:val="009440"/>
          <w:sz w:val="26"/>
        </w:rPr>
        <w:t>11. INDICATEURS DE PERFORMANCE (KPIS)</w:t>
      </w:r>
    </w:p>
    <w:p>
      <w:pPr>
        <w:spacing w:before="80" w:after="80"/>
        <w:pBdr>
          <w:bottom w:val="single" w:sz="8" w:space="1" w:color="009440"/>
        </w:pBdr>
      </w:pPr>
    </w:p>
    <w:p>
      <w:pPr>
        <w:keepNext/>
        <w:spacing w:before="240" w:after="80"/>
      </w:pPr>
      <w:r>
        <w:rPr>
          <w:b/>
          <w:color w:val="003F8F"/>
          <w:sz w:val="22"/>
        </w:rPr>
        <w:t>KPIs Projet — Déploiement</w:t>
      </w:r>
    </w:p>
    <w:tbl>
      <w:tblPr>
        <w:tblStyle w:val="TableGrid"/>
        <w:tblW w:type="auto" w:w="0"/>
        <w:jc w:val="left"/>
        <w:tblLook w:firstColumn="1" w:firstRow="1" w:lastColumn="0" w:lastRow="0" w:noHBand="0" w:noVBand="1" w:val="04A0"/>
      </w:tblPr>
      <w:tblGrid>
        <w:gridCol w:w="3024"/>
        <w:gridCol w:w="3024"/>
        <w:gridCol w:w="3024"/>
      </w:tblGrid>
      <w:tr>
        <w:tc>
          <w:tcPr>
            <w:tcW w:type="dxa" w:w="3969"/>
            <w:shd w:val="clear" w:color="auto" w:fill="009440"/>
          </w:tcPr>
          <w:p>
            <w:pPr>
              <w:spacing w:before="60" w:after="60"/>
              <w:jc w:val="center"/>
            </w:pPr>
            <w:r>
              <w:rPr>
                <w:b/>
                <w:color w:val="FFFFFF"/>
                <w:sz w:val="18"/>
              </w:rPr>
              <w:t>KPI</w:t>
            </w:r>
          </w:p>
        </w:tc>
        <w:tc>
          <w:tcPr>
            <w:tcW w:type="dxa" w:w="2268"/>
            <w:shd w:val="clear" w:color="auto" w:fill="009440"/>
          </w:tcPr>
          <w:p>
            <w:pPr>
              <w:spacing w:before="60" w:after="60"/>
              <w:jc w:val="center"/>
            </w:pPr>
            <w:r>
              <w:rPr>
                <w:b/>
                <w:color w:val="FFFFFF"/>
                <w:sz w:val="18"/>
              </w:rPr>
              <w:t>Cible M7 (pilote)</w:t>
            </w:r>
          </w:p>
        </w:tc>
        <w:tc>
          <w:tcPr>
            <w:tcW w:type="dxa" w:w="2551"/>
            <w:shd w:val="clear" w:color="auto" w:fill="009440"/>
          </w:tcPr>
          <w:p>
            <w:pPr>
              <w:spacing w:before="60" w:after="60"/>
              <w:jc w:val="center"/>
            </w:pPr>
            <w:r>
              <w:rPr>
                <w:b/>
                <w:color w:val="FFFFFF"/>
                <w:sz w:val="18"/>
              </w:rPr>
              <w:t>Cible M12 (généralisation)</w:t>
            </w:r>
          </w:p>
        </w:tc>
      </w:tr>
      <w:tr>
        <w:tc>
          <w:tcPr>
            <w:tcW w:type="dxa" w:w="3969"/>
            <w:shd w:val="clear" w:color="auto" w:fill="FFFFFF"/>
          </w:tcPr>
          <w:p>
            <w:pPr>
              <w:spacing w:before="40" w:after="40"/>
            </w:pPr>
            <w:r>
              <w:rPr>
                <w:b/>
                <w:sz w:val="18"/>
              </w:rPr>
              <w:t>% agents formés</w:t>
            </w:r>
          </w:p>
        </w:tc>
        <w:tc>
          <w:tcPr>
            <w:tcW w:type="dxa" w:w="2268"/>
            <w:shd w:val="clear" w:color="auto" w:fill="FFFFFF"/>
          </w:tcPr>
          <w:p>
            <w:pPr>
              <w:spacing w:before="40" w:after="40"/>
            </w:pPr>
            <w:r>
              <w:rPr>
                <w:sz w:val="18"/>
              </w:rPr>
              <w:t>80% (agents pilotes)</w:t>
            </w:r>
          </w:p>
        </w:tc>
        <w:tc>
          <w:tcPr>
            <w:tcW w:type="dxa" w:w="2551"/>
            <w:shd w:val="clear" w:color="auto" w:fill="FFFFFF"/>
          </w:tcPr>
          <w:p>
            <w:pPr>
              <w:spacing w:before="40" w:after="40"/>
            </w:pPr>
            <w:r>
              <w:rPr>
                <w:sz w:val="18"/>
              </w:rPr>
              <w:t>100%</w:t>
            </w:r>
          </w:p>
        </w:tc>
      </w:tr>
      <w:tr>
        <w:tc>
          <w:tcPr>
            <w:tcW w:type="dxa" w:w="3969"/>
            <w:shd w:val="clear" w:color="auto" w:fill="F4F7FB"/>
          </w:tcPr>
          <w:p>
            <w:pPr>
              <w:spacing w:before="40" w:after="40"/>
            </w:pPr>
            <w:r>
              <w:rPr>
                <w:b/>
                <w:sz w:val="18"/>
              </w:rPr>
              <w:t>% dossiers ATI sur plateforme</w:t>
            </w:r>
          </w:p>
        </w:tc>
        <w:tc>
          <w:tcPr>
            <w:tcW w:type="dxa" w:w="2268"/>
            <w:shd w:val="clear" w:color="auto" w:fill="F4F7FB"/>
          </w:tcPr>
          <w:p>
            <w:pPr>
              <w:spacing w:before="40" w:after="40"/>
            </w:pPr>
            <w:r>
              <w:rPr>
                <w:sz w:val="18"/>
              </w:rPr>
              <w:t>50%</w:t>
            </w:r>
          </w:p>
        </w:tc>
        <w:tc>
          <w:tcPr>
            <w:tcW w:type="dxa" w:w="2551"/>
            <w:shd w:val="clear" w:color="auto" w:fill="F4F7FB"/>
          </w:tcPr>
          <w:p>
            <w:pPr>
              <w:spacing w:before="40" w:after="40"/>
            </w:pPr>
            <w:r>
              <w:rPr>
                <w:sz w:val="18"/>
              </w:rPr>
              <w:t>100%</w:t>
            </w:r>
          </w:p>
        </w:tc>
      </w:tr>
      <w:tr>
        <w:tc>
          <w:tcPr>
            <w:tcW w:type="dxa" w:w="3969"/>
            <w:shd w:val="clear" w:color="auto" w:fill="FFFFFF"/>
          </w:tcPr>
          <w:p>
            <w:pPr>
              <w:spacing w:before="40" w:after="40"/>
            </w:pPr>
            <w:r>
              <w:rPr>
                <w:b/>
                <w:sz w:val="18"/>
              </w:rPr>
              <w:t>Disponibilité applicative</w:t>
            </w:r>
          </w:p>
        </w:tc>
        <w:tc>
          <w:tcPr>
            <w:tcW w:type="dxa" w:w="2268"/>
            <w:shd w:val="clear" w:color="auto" w:fill="FFFFFF"/>
          </w:tcPr>
          <w:p>
            <w:pPr>
              <w:spacing w:before="40" w:after="40"/>
            </w:pPr>
            <w:r>
              <w:rPr>
                <w:sz w:val="18"/>
              </w:rPr>
              <w:t>&gt; 99%</w:t>
            </w:r>
          </w:p>
        </w:tc>
        <w:tc>
          <w:tcPr>
            <w:tcW w:type="dxa" w:w="2551"/>
            <w:shd w:val="clear" w:color="auto" w:fill="FFFFFF"/>
          </w:tcPr>
          <w:p>
            <w:pPr>
              <w:spacing w:before="40" w:after="40"/>
            </w:pPr>
            <w:r>
              <w:rPr>
                <w:sz w:val="18"/>
              </w:rPr>
              <w:t>&gt; 99,5%</w:t>
            </w:r>
          </w:p>
        </w:tc>
      </w:tr>
      <w:tr>
        <w:tc>
          <w:tcPr>
            <w:tcW w:type="dxa" w:w="3969"/>
            <w:shd w:val="clear" w:color="auto" w:fill="F4F7FB"/>
          </w:tcPr>
          <w:p>
            <w:pPr>
              <w:spacing w:before="40" w:after="40"/>
            </w:pPr>
            <w:r>
              <w:rPr>
                <w:b/>
                <w:sz w:val="18"/>
              </w:rPr>
              <w:t>Incidents bloquants ouverts</w:t>
            </w:r>
          </w:p>
        </w:tc>
        <w:tc>
          <w:tcPr>
            <w:tcW w:type="dxa" w:w="2268"/>
            <w:shd w:val="clear" w:color="auto" w:fill="F4F7FB"/>
          </w:tcPr>
          <w:p>
            <w:pPr>
              <w:spacing w:before="40" w:after="40"/>
            </w:pPr>
            <w:r>
              <w:rPr>
                <w:sz w:val="18"/>
              </w:rPr>
              <w:t>&lt; 5</w:t>
            </w:r>
          </w:p>
        </w:tc>
        <w:tc>
          <w:tcPr>
            <w:tcW w:type="dxa" w:w="2551"/>
            <w:shd w:val="clear" w:color="auto" w:fill="F4F7FB"/>
          </w:tcPr>
          <w:p>
            <w:pPr>
              <w:spacing w:before="40" w:after="40"/>
            </w:pPr>
            <w:r>
              <w:rPr>
                <w:sz w:val="18"/>
              </w:rPr>
              <w:t>0</w:t>
            </w:r>
          </w:p>
        </w:tc>
      </w:tr>
    </w:tbl>
    <w:p/>
    <w:p>
      <w:pPr>
        <w:keepNext/>
        <w:spacing w:before="240" w:after="80"/>
      </w:pPr>
      <w:r>
        <w:rPr>
          <w:b/>
          <w:color w:val="003F8F"/>
          <w:sz w:val="22"/>
        </w:rPr>
        <w:t>KPIs Métier — Performance</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3402"/>
            <w:shd w:val="clear" w:color="auto" w:fill="003F8F"/>
          </w:tcPr>
          <w:p>
            <w:pPr>
              <w:spacing w:before="60" w:after="60"/>
              <w:jc w:val="center"/>
            </w:pPr>
            <w:r>
              <w:rPr>
                <w:b/>
                <w:color w:val="FFFFFF"/>
                <w:sz w:val="18"/>
              </w:rPr>
              <w:t>KPI</w:t>
            </w:r>
          </w:p>
        </w:tc>
        <w:tc>
          <w:tcPr>
            <w:tcW w:type="dxa" w:w="1701"/>
            <w:shd w:val="clear" w:color="auto" w:fill="003F8F"/>
          </w:tcPr>
          <w:p>
            <w:pPr>
              <w:spacing w:before="60" w:after="60"/>
              <w:jc w:val="center"/>
            </w:pPr>
            <w:r>
              <w:rPr>
                <w:b/>
                <w:color w:val="FFFFFF"/>
                <w:sz w:val="18"/>
              </w:rPr>
              <w:t>Baseline actuelle</w:t>
            </w:r>
          </w:p>
        </w:tc>
        <w:tc>
          <w:tcPr>
            <w:tcW w:type="dxa" w:w="1417"/>
            <w:shd w:val="clear" w:color="auto" w:fill="003F8F"/>
          </w:tcPr>
          <w:p>
            <w:pPr>
              <w:spacing w:before="60" w:after="60"/>
              <w:jc w:val="center"/>
            </w:pPr>
            <w:r>
              <w:rPr>
                <w:b/>
                <w:color w:val="FFFFFF"/>
                <w:sz w:val="18"/>
              </w:rPr>
              <w:t>Cible M7</w:t>
            </w:r>
          </w:p>
        </w:tc>
        <w:tc>
          <w:tcPr>
            <w:tcW w:type="dxa" w:w="1701"/>
            <w:shd w:val="clear" w:color="auto" w:fill="003F8F"/>
          </w:tcPr>
          <w:p>
            <w:pPr>
              <w:spacing w:before="60" w:after="60"/>
              <w:jc w:val="center"/>
            </w:pPr>
            <w:r>
              <w:rPr>
                <w:b/>
                <w:color w:val="FFFFFF"/>
                <w:sz w:val="18"/>
              </w:rPr>
              <w:t>Cible M12</w:t>
            </w:r>
          </w:p>
        </w:tc>
      </w:tr>
      <w:tr>
        <w:tc>
          <w:tcPr>
            <w:tcW w:type="dxa" w:w="3402"/>
            <w:shd w:val="clear" w:color="auto" w:fill="FFFFFF"/>
          </w:tcPr>
          <w:p>
            <w:pPr>
              <w:spacing w:before="40" w:after="40"/>
            </w:pPr>
            <w:r>
              <w:rPr>
                <w:b/>
                <w:sz w:val="18"/>
              </w:rPr>
              <w:t>Délai moyen traitement ATI</w:t>
            </w:r>
          </w:p>
        </w:tc>
        <w:tc>
          <w:tcPr>
            <w:tcW w:type="dxa" w:w="1701"/>
            <w:shd w:val="clear" w:color="auto" w:fill="FFFFFF"/>
          </w:tcPr>
          <w:p>
            <w:pPr>
              <w:spacing w:before="40" w:after="40"/>
            </w:pPr>
            <w:r>
              <w:rPr>
                <w:sz w:val="18"/>
              </w:rPr>
              <w:t>45–60 jours</w:t>
            </w:r>
          </w:p>
        </w:tc>
        <w:tc>
          <w:tcPr>
            <w:tcW w:type="dxa" w:w="1417"/>
            <w:shd w:val="clear" w:color="auto" w:fill="FFFFFF"/>
          </w:tcPr>
          <w:p>
            <w:pPr>
              <w:spacing w:before="40" w:after="40"/>
            </w:pPr>
            <w:r>
              <w:rPr>
                <w:sz w:val="18"/>
              </w:rPr>
              <w:t>&lt; 25 jours</w:t>
            </w:r>
          </w:p>
        </w:tc>
        <w:tc>
          <w:tcPr>
            <w:tcW w:type="dxa" w:w="1701"/>
            <w:shd w:val="clear" w:color="auto" w:fill="FFFFFF"/>
          </w:tcPr>
          <w:p>
            <w:pPr>
              <w:spacing w:before="40" w:after="40"/>
            </w:pPr>
            <w:r>
              <w:rPr>
                <w:sz w:val="18"/>
              </w:rPr>
              <w:t>&lt; 15 jours</w:t>
            </w:r>
          </w:p>
        </w:tc>
      </w:tr>
      <w:tr>
        <w:tc>
          <w:tcPr>
            <w:tcW w:type="dxa" w:w="3402"/>
            <w:shd w:val="clear" w:color="auto" w:fill="F4F7FB"/>
          </w:tcPr>
          <w:p>
            <w:pPr>
              <w:spacing w:before="40" w:after="40"/>
            </w:pPr>
            <w:r>
              <w:rPr>
                <w:b/>
                <w:sz w:val="18"/>
              </w:rPr>
              <w:t>Dossiers complets au 1er dépôt</w:t>
            </w:r>
          </w:p>
        </w:tc>
        <w:tc>
          <w:tcPr>
            <w:tcW w:type="dxa" w:w="1701"/>
            <w:shd w:val="clear" w:color="auto" w:fill="F4F7FB"/>
          </w:tcPr>
          <w:p>
            <w:pPr>
              <w:spacing w:before="40" w:after="40"/>
            </w:pPr>
            <w:r>
              <w:rPr>
                <w:sz w:val="18"/>
              </w:rPr>
              <w:t>~35%</w:t>
            </w:r>
          </w:p>
        </w:tc>
        <w:tc>
          <w:tcPr>
            <w:tcW w:type="dxa" w:w="1417"/>
            <w:shd w:val="clear" w:color="auto" w:fill="F4F7FB"/>
          </w:tcPr>
          <w:p>
            <w:pPr>
              <w:spacing w:before="40" w:after="40"/>
            </w:pPr>
            <w:r>
              <w:rPr>
                <w:sz w:val="18"/>
              </w:rPr>
              <w:t>&gt; 65%</w:t>
            </w:r>
          </w:p>
        </w:tc>
        <w:tc>
          <w:tcPr>
            <w:tcW w:type="dxa" w:w="1701"/>
            <w:shd w:val="clear" w:color="auto" w:fill="F4F7FB"/>
          </w:tcPr>
          <w:p>
            <w:pPr>
              <w:spacing w:before="40" w:after="40"/>
            </w:pPr>
            <w:r>
              <w:rPr>
                <w:sz w:val="18"/>
              </w:rPr>
              <w:t>&gt; 80%</w:t>
            </w:r>
          </w:p>
        </w:tc>
      </w:tr>
      <w:tr>
        <w:tc>
          <w:tcPr>
            <w:tcW w:type="dxa" w:w="3402"/>
            <w:shd w:val="clear" w:color="auto" w:fill="FFFFFF"/>
          </w:tcPr>
          <w:p>
            <w:pPr>
              <w:spacing w:before="40" w:after="40"/>
            </w:pPr>
            <w:r>
              <w:rPr>
                <w:b/>
                <w:sz w:val="18"/>
              </w:rPr>
              <w:t>Traitement dans les délais SLA</w:t>
            </w:r>
          </w:p>
        </w:tc>
        <w:tc>
          <w:tcPr>
            <w:tcW w:type="dxa" w:w="1701"/>
            <w:shd w:val="clear" w:color="auto" w:fill="FFFFFF"/>
          </w:tcPr>
          <w:p>
            <w:pPr>
              <w:spacing w:before="40" w:after="40"/>
            </w:pPr>
            <w:r>
              <w:rPr>
                <w:sz w:val="18"/>
              </w:rPr>
              <w:t>Non mesuré</w:t>
            </w:r>
          </w:p>
        </w:tc>
        <w:tc>
          <w:tcPr>
            <w:tcW w:type="dxa" w:w="1417"/>
            <w:shd w:val="clear" w:color="auto" w:fill="FFFFFF"/>
          </w:tcPr>
          <w:p>
            <w:pPr>
              <w:spacing w:before="40" w:after="40"/>
            </w:pPr>
            <w:r>
              <w:rPr>
                <w:sz w:val="18"/>
              </w:rPr>
              <w:t>&gt; 70%</w:t>
            </w:r>
          </w:p>
        </w:tc>
        <w:tc>
          <w:tcPr>
            <w:tcW w:type="dxa" w:w="1701"/>
            <w:shd w:val="clear" w:color="auto" w:fill="FFFFFF"/>
          </w:tcPr>
          <w:p>
            <w:pPr>
              <w:spacing w:before="40" w:after="40"/>
            </w:pPr>
            <w:r>
              <w:rPr>
                <w:sz w:val="18"/>
              </w:rPr>
              <w:t>&gt; 90%</w:t>
            </w:r>
          </w:p>
        </w:tc>
      </w:tr>
      <w:tr>
        <w:tc>
          <w:tcPr>
            <w:tcW w:type="dxa" w:w="3402"/>
            <w:shd w:val="clear" w:color="auto" w:fill="F4F7FB"/>
          </w:tcPr>
          <w:p>
            <w:pPr>
              <w:spacing w:before="40" w:after="40"/>
            </w:pPr>
            <w:r>
              <w:rPr>
                <w:b/>
                <w:sz w:val="18"/>
              </w:rPr>
              <w:t>Traçabilité des décisions</w:t>
            </w:r>
          </w:p>
        </w:tc>
        <w:tc>
          <w:tcPr>
            <w:tcW w:type="dxa" w:w="1701"/>
            <w:shd w:val="clear" w:color="auto" w:fill="F4F7FB"/>
          </w:tcPr>
          <w:p>
            <w:pPr>
              <w:spacing w:before="40" w:after="40"/>
            </w:pPr>
            <w:r>
              <w:rPr>
                <w:sz w:val="18"/>
              </w:rPr>
              <w:t>0%</w:t>
            </w:r>
          </w:p>
        </w:tc>
        <w:tc>
          <w:tcPr>
            <w:tcW w:type="dxa" w:w="1417"/>
            <w:shd w:val="clear" w:color="auto" w:fill="F4F7FB"/>
          </w:tcPr>
          <w:p>
            <w:pPr>
              <w:spacing w:before="40" w:after="40"/>
            </w:pPr>
            <w:r>
              <w:rPr>
                <w:sz w:val="18"/>
              </w:rPr>
              <w:t>100%</w:t>
            </w:r>
          </w:p>
        </w:tc>
        <w:tc>
          <w:tcPr>
            <w:tcW w:type="dxa" w:w="1701"/>
            <w:shd w:val="clear" w:color="auto" w:fill="F4F7FB"/>
          </w:tcPr>
          <w:p>
            <w:pPr>
              <w:spacing w:before="40" w:after="40"/>
            </w:pPr>
            <w:r>
              <w:rPr>
                <w:sz w:val="18"/>
              </w:rPr>
              <w:t>100%</w:t>
            </w:r>
          </w:p>
        </w:tc>
      </w:tr>
      <w:tr>
        <w:tc>
          <w:tcPr>
            <w:tcW w:type="dxa" w:w="3402"/>
            <w:shd w:val="clear" w:color="auto" w:fill="FFFFFF"/>
          </w:tcPr>
          <w:p>
            <w:pPr>
              <w:spacing w:before="40" w:after="40"/>
            </w:pPr>
            <w:r>
              <w:rPr>
                <w:b/>
                <w:sz w:val="18"/>
              </w:rPr>
              <w:t>Satisfaction opérateurs</w:t>
            </w:r>
          </w:p>
        </w:tc>
        <w:tc>
          <w:tcPr>
            <w:tcW w:type="dxa" w:w="1701"/>
            <w:shd w:val="clear" w:color="auto" w:fill="FFFFFF"/>
          </w:tcPr>
          <w:p>
            <w:pPr>
              <w:spacing w:before="40" w:after="40"/>
            </w:pPr>
            <w:r>
              <w:rPr>
                <w:sz w:val="18"/>
              </w:rPr>
              <w:t>Non mesurée</w:t>
            </w:r>
          </w:p>
        </w:tc>
        <w:tc>
          <w:tcPr>
            <w:tcW w:type="dxa" w:w="1417"/>
            <w:shd w:val="clear" w:color="auto" w:fill="FFFFFF"/>
          </w:tcPr>
          <w:p>
            <w:pPr>
              <w:spacing w:before="40" w:after="40"/>
            </w:pPr>
            <w:r>
              <w:rPr>
                <w:sz w:val="18"/>
              </w:rPr>
              <w:t>&gt; 65%</w:t>
            </w:r>
          </w:p>
        </w:tc>
        <w:tc>
          <w:tcPr>
            <w:tcW w:type="dxa" w:w="1701"/>
            <w:shd w:val="clear" w:color="auto" w:fill="FFFFFF"/>
          </w:tcPr>
          <w:p>
            <w:pPr>
              <w:spacing w:before="40" w:after="40"/>
            </w:pPr>
            <w:r>
              <w:rPr>
                <w:sz w:val="18"/>
              </w:rPr>
              <w:t>&gt; 80%</w:t>
            </w:r>
          </w:p>
        </w:tc>
      </w:tr>
      <w:tr>
        <w:tc>
          <w:tcPr>
            <w:tcW w:type="dxa" w:w="3402"/>
            <w:shd w:val="clear" w:color="auto" w:fill="F4F7FB"/>
          </w:tcPr>
          <w:p>
            <w:pPr>
              <w:spacing w:before="40" w:after="40"/>
            </w:pPr>
            <w:r>
              <w:rPr>
                <w:b/>
                <w:sz w:val="18"/>
              </w:rPr>
              <w:t>Satisfaction agents</w:t>
            </w:r>
          </w:p>
        </w:tc>
        <w:tc>
          <w:tcPr>
            <w:tcW w:type="dxa" w:w="1701"/>
            <w:shd w:val="clear" w:color="auto" w:fill="F4F7FB"/>
          </w:tcPr>
          <w:p>
            <w:pPr>
              <w:spacing w:before="40" w:after="40"/>
            </w:pPr>
            <w:r>
              <w:rPr>
                <w:sz w:val="18"/>
              </w:rPr>
              <w:t>Non mesurée</w:t>
            </w:r>
          </w:p>
        </w:tc>
        <w:tc>
          <w:tcPr>
            <w:tcW w:type="dxa" w:w="1417"/>
            <w:shd w:val="clear" w:color="auto" w:fill="F4F7FB"/>
          </w:tcPr>
          <w:p>
            <w:pPr>
              <w:spacing w:before="40" w:after="40"/>
            </w:pPr>
            <w:r>
              <w:rPr>
                <w:sz w:val="18"/>
              </w:rPr>
              <w:t>&gt; 60%</w:t>
            </w:r>
          </w:p>
        </w:tc>
        <w:tc>
          <w:tcPr>
            <w:tcW w:type="dxa" w:w="1701"/>
            <w:shd w:val="clear" w:color="auto" w:fill="F4F7FB"/>
          </w:tcPr>
          <w:p>
            <w:pPr>
              <w:spacing w:before="40" w:after="40"/>
            </w:pPr>
            <w:r>
              <w:rPr>
                <w:sz w:val="18"/>
              </w:rPr>
              <w:t>&gt; 75%</w:t>
            </w:r>
          </w:p>
        </w:tc>
      </w:tr>
    </w:tbl>
    <w:p/>
    <w:p>
      <w:pPr>
        <w:keepNext/>
        <w:spacing w:before="240" w:after="80"/>
      </w:pPr>
      <w:r>
        <w:rPr>
          <w:b/>
          <w:color w:val="003F8F"/>
          <w:sz w:val="22"/>
        </w:rPr>
        <w:t>KPIs Stratégiques — Impact</w:t>
      </w:r>
    </w:p>
    <w:tbl>
      <w:tblPr>
        <w:tblStyle w:val="TableGrid"/>
        <w:tblW w:type="auto" w:w="0"/>
        <w:jc w:val="left"/>
        <w:tblLook w:firstColumn="1" w:firstRow="1" w:lastColumn="0" w:lastRow="0" w:noHBand="0" w:noVBand="1" w:val="04A0"/>
      </w:tblPr>
      <w:tblGrid>
        <w:gridCol w:w="3024"/>
        <w:gridCol w:w="3024"/>
        <w:gridCol w:w="3024"/>
      </w:tblGrid>
      <w:tr>
        <w:tc>
          <w:tcPr>
            <w:tcW w:type="dxa" w:w="4535"/>
            <w:shd w:val="clear" w:color="auto" w:fill="1A2E6F"/>
          </w:tcPr>
          <w:p>
            <w:pPr>
              <w:spacing w:before="60" w:after="60"/>
              <w:jc w:val="center"/>
            </w:pPr>
            <w:r>
              <w:rPr>
                <w:b/>
                <w:color w:val="FFFFFF"/>
                <w:sz w:val="18"/>
              </w:rPr>
              <w:t>KPI</w:t>
            </w:r>
          </w:p>
        </w:tc>
        <w:tc>
          <w:tcPr>
            <w:tcW w:type="dxa" w:w="2268"/>
            <w:shd w:val="clear" w:color="auto" w:fill="1A2E6F"/>
          </w:tcPr>
          <w:p>
            <w:pPr>
              <w:spacing w:before="60" w:after="60"/>
              <w:jc w:val="center"/>
            </w:pPr>
            <w:r>
              <w:rPr>
                <w:b/>
                <w:color w:val="FFFFFF"/>
                <w:sz w:val="18"/>
              </w:rPr>
              <w:t>Source</w:t>
            </w:r>
          </w:p>
        </w:tc>
        <w:tc>
          <w:tcPr>
            <w:tcW w:type="dxa" w:w="1984"/>
            <w:shd w:val="clear" w:color="auto" w:fill="1A2E6F"/>
          </w:tcPr>
          <w:p>
            <w:pPr>
              <w:spacing w:before="60" w:after="60"/>
              <w:jc w:val="center"/>
            </w:pPr>
            <w:r>
              <w:rPr>
                <w:b/>
                <w:color w:val="FFFFFF"/>
                <w:sz w:val="18"/>
              </w:rPr>
              <w:t>Fréquence</w:t>
            </w:r>
          </w:p>
        </w:tc>
      </w:tr>
      <w:tr>
        <w:tc>
          <w:tcPr>
            <w:tcW w:type="dxa" w:w="4535"/>
            <w:shd w:val="clear" w:color="auto" w:fill="FFFFFF"/>
          </w:tcPr>
          <w:p>
            <w:pPr>
              <w:spacing w:before="40" w:after="40"/>
            </w:pPr>
            <w:r>
              <w:rPr>
                <w:b/>
                <w:sz w:val="18"/>
              </w:rPr>
              <w:t>Évolution rang B-READY (indicateur licences)</w:t>
            </w:r>
          </w:p>
        </w:tc>
        <w:tc>
          <w:tcPr>
            <w:tcW w:type="dxa" w:w="2268"/>
            <w:shd w:val="clear" w:color="auto" w:fill="FFFFFF"/>
          </w:tcPr>
          <w:p>
            <w:pPr>
              <w:spacing w:before="40" w:after="40"/>
            </w:pPr>
            <w:r>
              <w:rPr>
                <w:sz w:val="18"/>
              </w:rPr>
              <w:t>Banque Mondiale</w:t>
            </w:r>
          </w:p>
        </w:tc>
        <w:tc>
          <w:tcPr>
            <w:tcW w:type="dxa" w:w="1984"/>
            <w:shd w:val="clear" w:color="auto" w:fill="FFFFFF"/>
          </w:tcPr>
          <w:p>
            <w:pPr>
              <w:spacing w:before="40" w:after="40"/>
            </w:pPr>
            <w:r>
              <w:rPr>
                <w:sz w:val="18"/>
              </w:rPr>
              <w:t>Annuelle</w:t>
            </w:r>
          </w:p>
        </w:tc>
      </w:tr>
      <w:tr>
        <w:tc>
          <w:tcPr>
            <w:tcW w:type="dxa" w:w="4535"/>
            <w:shd w:val="clear" w:color="auto" w:fill="F4F7FB"/>
          </w:tcPr>
          <w:p>
            <w:pPr>
              <w:spacing w:before="40" w:after="40"/>
            </w:pPr>
            <w:r>
              <w:rPr>
                <w:b/>
                <w:sz w:val="18"/>
              </w:rPr>
              <w:t>Nombre d'ATI traités et validés</w:t>
            </w:r>
          </w:p>
        </w:tc>
        <w:tc>
          <w:tcPr>
            <w:tcW w:type="dxa" w:w="2268"/>
            <w:shd w:val="clear" w:color="auto" w:fill="F4F7FB"/>
          </w:tcPr>
          <w:p>
            <w:pPr>
              <w:spacing w:before="40" w:after="40"/>
            </w:pPr>
            <w:r>
              <w:rPr>
                <w:sz w:val="18"/>
              </w:rPr>
              <w:t>PNPI</w:t>
            </w:r>
          </w:p>
        </w:tc>
        <w:tc>
          <w:tcPr>
            <w:tcW w:type="dxa" w:w="1984"/>
            <w:shd w:val="clear" w:color="auto" w:fill="F4F7FB"/>
          </w:tcPr>
          <w:p>
            <w:pPr>
              <w:spacing w:before="40" w:after="40"/>
            </w:pPr>
            <w:r>
              <w:rPr>
                <w:sz w:val="18"/>
              </w:rPr>
              <w:t>Mensuelle</w:t>
            </w:r>
          </w:p>
        </w:tc>
      </w:tr>
      <w:tr>
        <w:tc>
          <w:tcPr>
            <w:tcW w:type="dxa" w:w="4535"/>
            <w:shd w:val="clear" w:color="auto" w:fill="FFFFFF"/>
          </w:tcPr>
          <w:p>
            <w:pPr>
              <w:spacing w:before="40" w:after="40"/>
            </w:pPr>
            <w:r>
              <w:rPr>
                <w:b/>
                <w:sz w:val="18"/>
              </w:rPr>
              <w:t>Économies générées vs statu quo</w:t>
            </w:r>
          </w:p>
        </w:tc>
        <w:tc>
          <w:tcPr>
            <w:tcW w:type="dxa" w:w="2268"/>
            <w:shd w:val="clear" w:color="auto" w:fill="FFFFFF"/>
          </w:tcPr>
          <w:p>
            <w:pPr>
              <w:spacing w:before="40" w:after="40"/>
            </w:pPr>
            <w:r>
              <w:rPr>
                <w:sz w:val="18"/>
              </w:rPr>
              <w:t>Audit interne</w:t>
            </w:r>
          </w:p>
        </w:tc>
        <w:tc>
          <w:tcPr>
            <w:tcW w:type="dxa" w:w="1984"/>
            <w:shd w:val="clear" w:color="auto" w:fill="FFFFFF"/>
          </w:tcPr>
          <w:p>
            <w:pPr>
              <w:spacing w:before="40" w:after="40"/>
            </w:pPr>
            <w:r>
              <w:rPr>
                <w:sz w:val="18"/>
              </w:rPr>
              <w:t>Semestrielle</w:t>
            </w:r>
          </w:p>
        </w:tc>
      </w:tr>
      <w:tr>
        <w:tc>
          <w:tcPr>
            <w:tcW w:type="dxa" w:w="4535"/>
            <w:shd w:val="clear" w:color="auto" w:fill="F4F7FB"/>
          </w:tcPr>
          <w:p>
            <w:pPr>
              <w:spacing w:before="40" w:after="40"/>
            </w:pPr>
            <w:r>
              <w:rPr>
                <w:b/>
                <w:sz w:val="18"/>
              </w:rPr>
              <w:t>Connexions interopérabilité activées</w:t>
            </w:r>
          </w:p>
        </w:tc>
        <w:tc>
          <w:tcPr>
            <w:tcW w:type="dxa" w:w="2268"/>
            <w:shd w:val="clear" w:color="auto" w:fill="F4F7FB"/>
          </w:tcPr>
          <w:p>
            <w:pPr>
              <w:spacing w:before="40" w:after="40"/>
            </w:pPr>
            <w:r>
              <w:rPr>
                <w:sz w:val="18"/>
              </w:rPr>
              <w:t>Équipe technique</w:t>
            </w:r>
          </w:p>
        </w:tc>
        <w:tc>
          <w:tcPr>
            <w:tcW w:type="dxa" w:w="1984"/>
            <w:shd w:val="clear" w:color="auto" w:fill="F4F7FB"/>
          </w:tcPr>
          <w:p>
            <w:pPr>
              <w:spacing w:before="40" w:after="40"/>
            </w:pPr>
            <w:r>
              <w:rPr>
                <w:sz w:val="18"/>
              </w:rPr>
              <w:t>Trimestrielle</w:t>
            </w:r>
          </w:p>
        </w:tc>
      </w:tr>
      <w:tr>
        <w:tc>
          <w:tcPr>
            <w:tcW w:type="dxa" w:w="4535"/>
            <w:shd w:val="clear" w:color="auto" w:fill="FFFFFF"/>
          </w:tcPr>
          <w:p>
            <w:pPr>
              <w:spacing w:before="40" w:after="40"/>
            </w:pPr>
            <w:r>
              <w:rPr>
                <w:b/>
                <w:sz w:val="18"/>
              </w:rPr>
              <w:t>Taux d'adoption utilisateurs</w:t>
            </w:r>
          </w:p>
        </w:tc>
        <w:tc>
          <w:tcPr>
            <w:tcW w:type="dxa" w:w="2268"/>
            <w:shd w:val="clear" w:color="auto" w:fill="FFFFFF"/>
          </w:tcPr>
          <w:p>
            <w:pPr>
              <w:spacing w:before="40" w:after="40"/>
            </w:pPr>
            <w:r>
              <w:rPr>
                <w:sz w:val="18"/>
              </w:rPr>
              <w:t>PNPI</w:t>
            </w:r>
          </w:p>
        </w:tc>
        <w:tc>
          <w:tcPr>
            <w:tcW w:type="dxa" w:w="1984"/>
            <w:shd w:val="clear" w:color="auto" w:fill="FFFFFF"/>
          </w:tcPr>
          <w:p>
            <w:pPr>
              <w:spacing w:before="40" w:after="40"/>
            </w:pPr>
            <w:r>
              <w:rPr>
                <w:sz w:val="18"/>
              </w:rPr>
              <w:t>Mensuelle</w:t>
            </w:r>
          </w:p>
        </w:tc>
      </w:tr>
    </w:tbl>
    <w:p/>
    <w:p>
      <w:r>
        <w:br w:type="page"/>
      </w:r>
    </w:p>
    <w:p>
      <w:pPr>
        <w:keepNext/>
        <w:spacing w:before="360" w:after="120"/>
      </w:pPr>
      <w:r>
        <w:rPr>
          <w:b/>
          <w:color w:val="009440"/>
          <w:sz w:val="26"/>
        </w:rPr>
        <w:t>12. GOUVERNANCE</w:t>
      </w:r>
    </w:p>
    <w:p>
      <w:pPr>
        <w:spacing w:before="80" w:after="80"/>
        <w:pBdr>
          <w:bottom w:val="single" w:sz="8" w:space="1" w:color="009440"/>
        </w:pBdr>
      </w:pPr>
    </w:p>
    <w:p>
      <w:pPr>
        <w:keepNext/>
        <w:spacing w:before="240" w:after="80"/>
      </w:pPr>
      <w:r>
        <w:rPr>
          <w:b/>
          <w:color w:val="003F8F"/>
          <w:sz w:val="22"/>
        </w:rPr>
        <w:t>12.1 Fréquence des instances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984"/>
            <w:shd w:val="clear" w:color="auto" w:fill="003F8F"/>
          </w:tcPr>
          <w:p>
            <w:pPr>
              <w:spacing w:before="60" w:after="60"/>
              <w:jc w:val="center"/>
            </w:pPr>
            <w:r>
              <w:rPr>
                <w:b/>
                <w:color w:val="FFFFFF"/>
                <w:sz w:val="18"/>
              </w:rPr>
              <w:t>Instance</w:t>
            </w:r>
          </w:p>
        </w:tc>
        <w:tc>
          <w:tcPr>
            <w:tcW w:type="dxa" w:w="1417"/>
            <w:shd w:val="clear" w:color="auto" w:fill="003F8F"/>
          </w:tcPr>
          <w:p>
            <w:pPr>
              <w:spacing w:before="60" w:after="60"/>
              <w:jc w:val="center"/>
            </w:pPr>
            <w:r>
              <w:rPr>
                <w:b/>
                <w:color w:val="FFFFFF"/>
                <w:sz w:val="18"/>
              </w:rPr>
              <w:t>Fréquence</w:t>
            </w:r>
          </w:p>
        </w:tc>
        <w:tc>
          <w:tcPr>
            <w:tcW w:type="dxa" w:w="3118"/>
            <w:shd w:val="clear" w:color="auto" w:fill="003F8F"/>
          </w:tcPr>
          <w:p>
            <w:pPr>
              <w:spacing w:before="60" w:after="60"/>
              <w:jc w:val="center"/>
            </w:pPr>
            <w:r>
              <w:rPr>
                <w:b/>
                <w:color w:val="FFFFFF"/>
                <w:sz w:val="18"/>
              </w:rPr>
              <w:t>Participants</w:t>
            </w:r>
          </w:p>
        </w:tc>
        <w:tc>
          <w:tcPr>
            <w:tcW w:type="dxa" w:w="2268"/>
            <w:shd w:val="clear" w:color="auto" w:fill="003F8F"/>
          </w:tcPr>
          <w:p>
            <w:pPr>
              <w:spacing w:before="60" w:after="60"/>
              <w:jc w:val="center"/>
            </w:pPr>
            <w:r>
              <w:rPr>
                <w:b/>
                <w:color w:val="FFFFFF"/>
                <w:sz w:val="18"/>
              </w:rPr>
              <w:t>Objet</w:t>
            </w:r>
          </w:p>
        </w:tc>
      </w:tr>
      <w:tr>
        <w:tc>
          <w:tcPr>
            <w:tcW w:type="dxa" w:w="1984"/>
            <w:shd w:val="clear" w:color="auto" w:fill="FFFFFF"/>
          </w:tcPr>
          <w:p>
            <w:pPr>
              <w:spacing w:before="40" w:after="40"/>
            </w:pPr>
            <w:r>
              <w:rPr>
                <w:b/>
                <w:sz w:val="18"/>
              </w:rPr>
              <w:t>COPIL Stratégique</w:t>
            </w:r>
          </w:p>
        </w:tc>
        <w:tc>
          <w:tcPr>
            <w:tcW w:type="dxa" w:w="1417"/>
            <w:shd w:val="clear" w:color="auto" w:fill="FFFFFF"/>
          </w:tcPr>
          <w:p>
            <w:pPr>
              <w:spacing w:before="40" w:after="40"/>
            </w:pPr>
            <w:r>
              <w:rPr>
                <w:sz w:val="18"/>
              </w:rPr>
              <w:t>Mensuel</w:t>
            </w:r>
          </w:p>
        </w:tc>
        <w:tc>
          <w:tcPr>
            <w:tcW w:type="dxa" w:w="3118"/>
            <w:shd w:val="clear" w:color="auto" w:fill="FFFFFF"/>
          </w:tcPr>
          <w:p>
            <w:pPr>
              <w:spacing w:before="40" w:after="40"/>
            </w:pPr>
            <w:r>
              <w:rPr>
                <w:sz w:val="18"/>
              </w:rPr>
              <w:t>Ministre/SG, Direction Programme, Lead Technique</w:t>
            </w:r>
          </w:p>
        </w:tc>
        <w:tc>
          <w:tcPr>
            <w:tcW w:type="dxa" w:w="2268"/>
            <w:shd w:val="clear" w:color="auto" w:fill="FFFFFF"/>
          </w:tcPr>
          <w:p>
            <w:pPr>
              <w:spacing w:before="40" w:after="40"/>
            </w:pPr>
            <w:r>
              <w:rPr>
                <w:sz w:val="18"/>
              </w:rPr>
              <w:t>Arbitrage stratégique, KPIs</w:t>
            </w:r>
          </w:p>
        </w:tc>
      </w:tr>
      <w:tr>
        <w:tc>
          <w:tcPr>
            <w:tcW w:type="dxa" w:w="1984"/>
            <w:shd w:val="clear" w:color="auto" w:fill="F4F7FB"/>
          </w:tcPr>
          <w:p>
            <w:pPr>
              <w:spacing w:before="40" w:after="40"/>
            </w:pPr>
            <w:r>
              <w:rPr>
                <w:b/>
                <w:sz w:val="18"/>
              </w:rPr>
              <w:t>Comité Opérationnel</w:t>
            </w:r>
          </w:p>
        </w:tc>
        <w:tc>
          <w:tcPr>
            <w:tcW w:type="dxa" w:w="1417"/>
            <w:shd w:val="clear" w:color="auto" w:fill="F4F7FB"/>
          </w:tcPr>
          <w:p>
            <w:pPr>
              <w:spacing w:before="40" w:after="40"/>
            </w:pPr>
            <w:r>
              <w:rPr>
                <w:sz w:val="18"/>
              </w:rPr>
              <w:t>Hebdomadaire</w:t>
            </w:r>
          </w:p>
        </w:tc>
        <w:tc>
          <w:tcPr>
            <w:tcW w:type="dxa" w:w="3118"/>
            <w:shd w:val="clear" w:color="auto" w:fill="F4F7FB"/>
          </w:tcPr>
          <w:p>
            <w:pPr>
              <w:spacing w:before="40" w:after="40"/>
            </w:pPr>
            <w:r>
              <w:rPr>
                <w:sz w:val="18"/>
              </w:rPr>
              <w:t>Direction Programme, PO, Lead Technique</w:t>
            </w:r>
          </w:p>
        </w:tc>
        <w:tc>
          <w:tcPr>
            <w:tcW w:type="dxa" w:w="2268"/>
            <w:shd w:val="clear" w:color="auto" w:fill="F4F7FB"/>
          </w:tcPr>
          <w:p>
            <w:pPr>
              <w:spacing w:before="40" w:after="40"/>
            </w:pPr>
            <w:r>
              <w:rPr>
                <w:sz w:val="18"/>
              </w:rPr>
              <w:t>Avancement, blocages</w:t>
            </w:r>
          </w:p>
        </w:tc>
      </w:tr>
      <w:tr>
        <w:tc>
          <w:tcPr>
            <w:tcW w:type="dxa" w:w="1984"/>
            <w:shd w:val="clear" w:color="auto" w:fill="FFFFFF"/>
          </w:tcPr>
          <w:p>
            <w:pPr>
              <w:spacing w:before="40" w:after="40"/>
            </w:pPr>
            <w:r>
              <w:rPr>
                <w:b/>
                <w:sz w:val="18"/>
              </w:rPr>
              <w:t>Revue Technique</w:t>
            </w:r>
          </w:p>
        </w:tc>
        <w:tc>
          <w:tcPr>
            <w:tcW w:type="dxa" w:w="1417"/>
            <w:shd w:val="clear" w:color="auto" w:fill="FFFFFF"/>
          </w:tcPr>
          <w:p>
            <w:pPr>
              <w:spacing w:before="40" w:after="40"/>
            </w:pPr>
            <w:r>
              <w:rPr>
                <w:sz w:val="18"/>
              </w:rPr>
              <w:t>Bi-hebdomadaire</w:t>
            </w:r>
          </w:p>
        </w:tc>
        <w:tc>
          <w:tcPr>
            <w:tcW w:type="dxa" w:w="3118"/>
            <w:shd w:val="clear" w:color="auto" w:fill="FFFFFF"/>
          </w:tcPr>
          <w:p>
            <w:pPr>
              <w:spacing w:before="40" w:after="40"/>
            </w:pPr>
            <w:r>
              <w:rPr>
                <w:sz w:val="18"/>
              </w:rPr>
              <w:t>Lead Technique, DevOps, QA</w:t>
            </w:r>
          </w:p>
        </w:tc>
        <w:tc>
          <w:tcPr>
            <w:tcW w:type="dxa" w:w="2268"/>
            <w:shd w:val="clear" w:color="auto" w:fill="FFFFFF"/>
          </w:tcPr>
          <w:p>
            <w:pPr>
              <w:spacing w:before="40" w:after="40"/>
            </w:pPr>
            <w:r>
              <w:rPr>
                <w:sz w:val="18"/>
              </w:rPr>
              <w:t>Architecture, code, tests</w:t>
            </w:r>
          </w:p>
        </w:tc>
      </w:tr>
      <w:tr>
        <w:tc>
          <w:tcPr>
            <w:tcW w:type="dxa" w:w="1984"/>
            <w:shd w:val="clear" w:color="auto" w:fill="F4F7FB"/>
          </w:tcPr>
          <w:p>
            <w:pPr>
              <w:spacing w:before="40" w:after="40"/>
            </w:pPr>
            <w:r>
              <w:rPr>
                <w:b/>
                <w:sz w:val="18"/>
              </w:rPr>
              <w:t>Revue KPI</w:t>
            </w:r>
          </w:p>
        </w:tc>
        <w:tc>
          <w:tcPr>
            <w:tcW w:type="dxa" w:w="1417"/>
            <w:shd w:val="clear" w:color="auto" w:fill="F4F7FB"/>
          </w:tcPr>
          <w:p>
            <w:pPr>
              <w:spacing w:before="40" w:after="40"/>
            </w:pPr>
            <w:r>
              <w:rPr>
                <w:sz w:val="18"/>
              </w:rPr>
              <w:t>Mensuelle</w:t>
            </w:r>
          </w:p>
        </w:tc>
        <w:tc>
          <w:tcPr>
            <w:tcW w:type="dxa" w:w="3118"/>
            <w:shd w:val="clear" w:color="auto" w:fill="F4F7FB"/>
          </w:tcPr>
          <w:p>
            <w:pPr>
              <w:spacing w:before="40" w:after="40"/>
            </w:pPr>
            <w:r>
              <w:rPr>
                <w:sz w:val="18"/>
              </w:rPr>
              <w:t>Direction Programme, PO, Data Analyst</w:t>
            </w:r>
          </w:p>
        </w:tc>
        <w:tc>
          <w:tcPr>
            <w:tcW w:type="dxa" w:w="2268"/>
            <w:shd w:val="clear" w:color="auto" w:fill="F4F7FB"/>
          </w:tcPr>
          <w:p>
            <w:pPr>
              <w:spacing w:before="40" w:after="40"/>
            </w:pPr>
            <w:r>
              <w:rPr>
                <w:sz w:val="18"/>
              </w:rPr>
              <w:t>Indicateurs, ajustements</w:t>
            </w:r>
          </w:p>
        </w:tc>
      </w:tr>
    </w:tbl>
    <w:p/>
    <w:p>
      <w:pPr>
        <w:keepNext/>
        <w:spacing w:before="240" w:after="80"/>
      </w:pPr>
      <w:r>
        <w:rPr>
          <w:b/>
          <w:color w:val="003F8F"/>
          <w:sz w:val="22"/>
        </w:rPr>
        <w:t>12.2 Modèle RACI</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3118"/>
            <w:shd w:val="clear" w:color="auto" w:fill="009440"/>
          </w:tcPr>
          <w:p>
            <w:pPr>
              <w:spacing w:before="60" w:after="60"/>
              <w:jc w:val="center"/>
            </w:pPr>
            <w:r>
              <w:rPr>
                <w:b/>
                <w:color w:val="FFFFFF"/>
                <w:sz w:val="18"/>
              </w:rPr>
              <w:t>Activité</w:t>
            </w:r>
          </w:p>
        </w:tc>
        <w:tc>
          <w:tcPr>
            <w:tcW w:type="dxa" w:w="1417"/>
            <w:shd w:val="clear" w:color="auto" w:fill="009440"/>
          </w:tcPr>
          <w:p>
            <w:pPr>
              <w:spacing w:before="60" w:after="60"/>
              <w:jc w:val="center"/>
            </w:pPr>
            <w:r>
              <w:rPr>
                <w:b/>
                <w:color w:val="FFFFFF"/>
                <w:sz w:val="18"/>
              </w:rPr>
              <w:t>Dir. Programme</w:t>
            </w:r>
          </w:p>
        </w:tc>
        <w:tc>
          <w:tcPr>
            <w:tcW w:type="dxa" w:w="1417"/>
            <w:shd w:val="clear" w:color="auto" w:fill="009440"/>
          </w:tcPr>
          <w:p>
            <w:pPr>
              <w:spacing w:before="60" w:after="60"/>
              <w:jc w:val="center"/>
            </w:pPr>
            <w:r>
              <w:rPr>
                <w:b/>
                <w:color w:val="FFFFFF"/>
                <w:sz w:val="18"/>
              </w:rPr>
              <w:t>Product Owner</w:t>
            </w:r>
          </w:p>
        </w:tc>
        <w:tc>
          <w:tcPr>
            <w:tcW w:type="dxa" w:w="1417"/>
            <w:shd w:val="clear" w:color="auto" w:fill="009440"/>
          </w:tcPr>
          <w:p>
            <w:pPr>
              <w:spacing w:before="60" w:after="60"/>
              <w:jc w:val="center"/>
            </w:pPr>
            <w:r>
              <w:rPr>
                <w:b/>
                <w:color w:val="FFFFFF"/>
                <w:sz w:val="18"/>
              </w:rPr>
              <w:t>Lead Technique</w:t>
            </w:r>
          </w:p>
        </w:tc>
        <w:tc>
          <w:tcPr>
            <w:tcW w:type="dxa" w:w="1417"/>
            <w:shd w:val="clear" w:color="auto" w:fill="009440"/>
          </w:tcPr>
          <w:p>
            <w:pPr>
              <w:spacing w:before="60" w:after="60"/>
              <w:jc w:val="center"/>
            </w:pPr>
            <w:r>
              <w:rPr>
                <w:b/>
                <w:color w:val="FFFFFF"/>
                <w:sz w:val="18"/>
              </w:rPr>
              <w:t>COPIL</w:t>
            </w:r>
          </w:p>
        </w:tc>
      </w:tr>
      <w:tr>
        <w:tc>
          <w:tcPr>
            <w:tcW w:type="dxa" w:w="3118"/>
            <w:shd w:val="clear" w:color="auto" w:fill="FFFFFF"/>
          </w:tcPr>
          <w:p>
            <w:pPr>
              <w:spacing w:before="40" w:after="40"/>
            </w:pPr>
            <w:r>
              <w:rPr>
                <w:b/>
                <w:sz w:val="18"/>
              </w:rPr>
              <w:t>Cadrage et spécifications</w:t>
            </w:r>
          </w:p>
        </w:tc>
        <w:tc>
          <w:tcPr>
            <w:tcW w:type="dxa" w:w="1417"/>
            <w:shd w:val="clear" w:color="auto" w:fill="FFFFFF"/>
          </w:tcPr>
          <w:p>
            <w:pPr>
              <w:spacing w:before="40" w:after="40"/>
            </w:pPr>
            <w:r>
              <w:rPr>
                <w:sz w:val="18"/>
              </w:rPr>
              <w:t>A</w:t>
            </w:r>
          </w:p>
        </w:tc>
        <w:tc>
          <w:tcPr>
            <w:tcW w:type="dxa" w:w="1417"/>
            <w:shd w:val="clear" w:color="auto" w:fill="FFFFFF"/>
          </w:tcPr>
          <w:p>
            <w:pPr>
              <w:spacing w:before="40" w:after="40"/>
            </w:pPr>
            <w:r>
              <w:rPr>
                <w:sz w:val="18"/>
              </w:rPr>
              <w:t>R</w:t>
            </w:r>
          </w:p>
        </w:tc>
        <w:tc>
          <w:tcPr>
            <w:tcW w:type="dxa" w:w="1417"/>
            <w:shd w:val="clear" w:color="auto" w:fill="FFFFFF"/>
          </w:tcPr>
          <w:p>
            <w:pPr>
              <w:spacing w:before="40" w:after="40"/>
            </w:pPr>
            <w:r>
              <w:rPr>
                <w:sz w:val="18"/>
              </w:rPr>
              <w:t>C</w:t>
            </w:r>
          </w:p>
        </w:tc>
        <w:tc>
          <w:tcPr>
            <w:tcW w:type="dxa" w:w="1417"/>
            <w:shd w:val="clear" w:color="auto" w:fill="FFFFFF"/>
          </w:tcPr>
          <w:p>
            <w:pPr>
              <w:spacing w:before="40" w:after="40"/>
            </w:pPr>
            <w:r>
              <w:rPr>
                <w:sz w:val="18"/>
              </w:rPr>
              <w:t>I</w:t>
            </w:r>
          </w:p>
        </w:tc>
      </w:tr>
      <w:tr>
        <w:tc>
          <w:tcPr>
            <w:tcW w:type="dxa" w:w="3118"/>
            <w:shd w:val="clear" w:color="auto" w:fill="F4F7FB"/>
          </w:tcPr>
          <w:p>
            <w:pPr>
              <w:spacing w:before="40" w:after="40"/>
            </w:pPr>
            <w:r>
              <w:rPr>
                <w:b/>
                <w:sz w:val="18"/>
              </w:rPr>
              <w:t>Développement</w:t>
            </w:r>
          </w:p>
        </w:tc>
        <w:tc>
          <w:tcPr>
            <w:tcW w:type="dxa" w:w="1417"/>
            <w:shd w:val="clear" w:color="auto" w:fill="F4F7FB"/>
          </w:tcPr>
          <w:p>
            <w:pPr>
              <w:spacing w:before="40" w:after="40"/>
            </w:pPr>
            <w:r>
              <w:rPr>
                <w:sz w:val="18"/>
              </w:rPr>
              <w:t>C</w:t>
            </w:r>
          </w:p>
        </w:tc>
        <w:tc>
          <w:tcPr>
            <w:tcW w:type="dxa" w:w="1417"/>
            <w:shd w:val="clear" w:color="auto" w:fill="F4F7FB"/>
          </w:tcPr>
          <w:p>
            <w:pPr>
              <w:spacing w:before="40" w:after="40"/>
            </w:pPr>
            <w:r>
              <w:rPr>
                <w:sz w:val="18"/>
              </w:rPr>
              <w:t>I</w:t>
            </w:r>
          </w:p>
        </w:tc>
        <w:tc>
          <w:tcPr>
            <w:tcW w:type="dxa" w:w="1417"/>
            <w:shd w:val="clear" w:color="auto" w:fill="F4F7FB"/>
          </w:tcPr>
          <w:p>
            <w:pPr>
              <w:spacing w:before="40" w:after="40"/>
            </w:pPr>
            <w:r>
              <w:rPr>
                <w:sz w:val="18"/>
              </w:rPr>
              <w:t>A+R</w:t>
            </w:r>
          </w:p>
        </w:tc>
        <w:tc>
          <w:tcPr>
            <w:tcW w:type="dxa" w:w="1417"/>
            <w:shd w:val="clear" w:color="auto" w:fill="F4F7FB"/>
          </w:tcPr>
          <w:p>
            <w:pPr>
              <w:spacing w:before="40" w:after="40"/>
            </w:pPr>
            <w:r>
              <w:rPr>
                <w:sz w:val="18"/>
              </w:rPr>
              <w:t>I</w:t>
            </w:r>
          </w:p>
        </w:tc>
      </w:tr>
      <w:tr>
        <w:tc>
          <w:tcPr>
            <w:tcW w:type="dxa" w:w="3118"/>
            <w:shd w:val="clear" w:color="auto" w:fill="FFFFFF"/>
          </w:tcPr>
          <w:p>
            <w:pPr>
              <w:spacing w:before="40" w:after="40"/>
            </w:pPr>
            <w:r>
              <w:rPr>
                <w:b/>
                <w:sz w:val="18"/>
              </w:rPr>
              <w:t>Recette fonctionnelle</w:t>
            </w:r>
          </w:p>
        </w:tc>
        <w:tc>
          <w:tcPr>
            <w:tcW w:type="dxa" w:w="1417"/>
            <w:shd w:val="clear" w:color="auto" w:fill="FFFFFF"/>
          </w:tcPr>
          <w:p>
            <w:pPr>
              <w:spacing w:before="40" w:after="40"/>
            </w:pPr>
            <w:r>
              <w:rPr>
                <w:sz w:val="18"/>
              </w:rPr>
              <w:t>C</w:t>
            </w:r>
          </w:p>
        </w:tc>
        <w:tc>
          <w:tcPr>
            <w:tcW w:type="dxa" w:w="1417"/>
            <w:shd w:val="clear" w:color="auto" w:fill="FFFFFF"/>
          </w:tcPr>
          <w:p>
            <w:pPr>
              <w:spacing w:before="40" w:after="40"/>
            </w:pPr>
            <w:r>
              <w:rPr>
                <w:sz w:val="18"/>
              </w:rPr>
              <w:t>A+R</w:t>
            </w:r>
          </w:p>
        </w:tc>
        <w:tc>
          <w:tcPr>
            <w:tcW w:type="dxa" w:w="1417"/>
            <w:shd w:val="clear" w:color="auto" w:fill="FFFFFF"/>
          </w:tcPr>
          <w:p>
            <w:pPr>
              <w:spacing w:before="40" w:after="40"/>
            </w:pPr>
            <w:r>
              <w:rPr>
                <w:sz w:val="18"/>
              </w:rPr>
              <w:t>C</w:t>
            </w:r>
          </w:p>
        </w:tc>
        <w:tc>
          <w:tcPr>
            <w:tcW w:type="dxa" w:w="1417"/>
            <w:shd w:val="clear" w:color="auto" w:fill="FFFFFF"/>
          </w:tcPr>
          <w:p>
            <w:pPr>
              <w:spacing w:before="40" w:after="40"/>
            </w:pPr>
            <w:r>
              <w:rPr>
                <w:sz w:val="18"/>
              </w:rPr>
              <w:t>I</w:t>
            </w:r>
          </w:p>
        </w:tc>
      </w:tr>
      <w:tr>
        <w:tc>
          <w:tcPr>
            <w:tcW w:type="dxa" w:w="3118"/>
            <w:shd w:val="clear" w:color="auto" w:fill="F4F7FB"/>
          </w:tcPr>
          <w:p>
            <w:pPr>
              <w:spacing w:before="40" w:after="40"/>
            </w:pPr>
            <w:r>
              <w:rPr>
                <w:b/>
                <w:sz w:val="18"/>
              </w:rPr>
              <w:t>Mise en production</w:t>
            </w:r>
          </w:p>
        </w:tc>
        <w:tc>
          <w:tcPr>
            <w:tcW w:type="dxa" w:w="1417"/>
            <w:shd w:val="clear" w:color="auto" w:fill="F4F7FB"/>
          </w:tcPr>
          <w:p>
            <w:pPr>
              <w:spacing w:before="40" w:after="40"/>
            </w:pPr>
            <w:r>
              <w:rPr>
                <w:sz w:val="18"/>
              </w:rPr>
              <w:t>I</w:t>
            </w:r>
          </w:p>
        </w:tc>
        <w:tc>
          <w:tcPr>
            <w:tcW w:type="dxa" w:w="1417"/>
            <w:shd w:val="clear" w:color="auto" w:fill="F4F7FB"/>
          </w:tcPr>
          <w:p>
            <w:pPr>
              <w:spacing w:before="40" w:after="40"/>
            </w:pPr>
            <w:r>
              <w:rPr>
                <w:sz w:val="18"/>
              </w:rPr>
              <w:t>I</w:t>
            </w:r>
          </w:p>
        </w:tc>
        <w:tc>
          <w:tcPr>
            <w:tcW w:type="dxa" w:w="1417"/>
            <w:shd w:val="clear" w:color="auto" w:fill="F4F7FB"/>
          </w:tcPr>
          <w:p>
            <w:pPr>
              <w:spacing w:before="40" w:after="40"/>
            </w:pPr>
            <w:r>
              <w:rPr>
                <w:sz w:val="18"/>
              </w:rPr>
              <w:t>A+R</w:t>
            </w:r>
          </w:p>
        </w:tc>
        <w:tc>
          <w:tcPr>
            <w:tcW w:type="dxa" w:w="1417"/>
            <w:shd w:val="clear" w:color="auto" w:fill="F4F7FB"/>
          </w:tcPr>
          <w:p>
            <w:pPr>
              <w:spacing w:before="40" w:after="40"/>
            </w:pPr>
            <w:r>
              <w:rPr>
                <w:sz w:val="18"/>
              </w:rPr>
              <w:t>I</w:t>
            </w:r>
          </w:p>
        </w:tc>
      </w:tr>
      <w:tr>
        <w:tc>
          <w:tcPr>
            <w:tcW w:type="dxa" w:w="3118"/>
            <w:shd w:val="clear" w:color="auto" w:fill="FFFFFF"/>
          </w:tcPr>
          <w:p>
            <w:pPr>
              <w:spacing w:before="40" w:after="40"/>
            </w:pPr>
            <w:r>
              <w:rPr>
                <w:b/>
                <w:sz w:val="18"/>
              </w:rPr>
              <w:t>Formation agents</w:t>
            </w:r>
          </w:p>
        </w:tc>
        <w:tc>
          <w:tcPr>
            <w:tcW w:type="dxa" w:w="1417"/>
            <w:shd w:val="clear" w:color="auto" w:fill="FFFFFF"/>
          </w:tcPr>
          <w:p>
            <w:pPr>
              <w:spacing w:before="40" w:after="40"/>
            </w:pPr>
            <w:r>
              <w:rPr>
                <w:sz w:val="18"/>
              </w:rPr>
              <w:t>A</w:t>
            </w:r>
          </w:p>
        </w:tc>
        <w:tc>
          <w:tcPr>
            <w:tcW w:type="dxa" w:w="1417"/>
            <w:shd w:val="clear" w:color="auto" w:fill="FFFFFF"/>
          </w:tcPr>
          <w:p>
            <w:pPr>
              <w:spacing w:before="40" w:after="40"/>
            </w:pPr>
            <w:r>
              <w:rPr>
                <w:sz w:val="18"/>
              </w:rPr>
              <w:t>R</w:t>
            </w:r>
          </w:p>
        </w:tc>
        <w:tc>
          <w:tcPr>
            <w:tcW w:type="dxa" w:w="1417"/>
            <w:shd w:val="clear" w:color="auto" w:fill="FFFFFF"/>
          </w:tcPr>
          <w:p>
            <w:pPr>
              <w:spacing w:before="40" w:after="40"/>
            </w:pPr>
            <w:r>
              <w:rPr>
                <w:sz w:val="18"/>
              </w:rPr>
              <w:t>C</w:t>
            </w:r>
          </w:p>
        </w:tc>
        <w:tc>
          <w:tcPr>
            <w:tcW w:type="dxa" w:w="1417"/>
            <w:shd w:val="clear" w:color="auto" w:fill="FFFFFF"/>
          </w:tcPr>
          <w:p>
            <w:pPr>
              <w:spacing w:before="40" w:after="40"/>
            </w:pPr>
            <w:r>
              <w:rPr>
                <w:sz w:val="18"/>
              </w:rPr>
              <w:t>I</w:t>
            </w:r>
          </w:p>
        </w:tc>
      </w:tr>
      <w:tr>
        <w:tc>
          <w:tcPr>
            <w:tcW w:type="dxa" w:w="3118"/>
            <w:shd w:val="clear" w:color="auto" w:fill="F4F7FB"/>
          </w:tcPr>
          <w:p>
            <w:pPr>
              <w:spacing w:before="40" w:after="40"/>
            </w:pPr>
            <w:r>
              <w:rPr>
                <w:b/>
                <w:sz w:val="18"/>
              </w:rPr>
              <w:t>Décisions budgétaires</w:t>
            </w:r>
          </w:p>
        </w:tc>
        <w:tc>
          <w:tcPr>
            <w:tcW w:type="dxa" w:w="1417"/>
            <w:shd w:val="clear" w:color="auto" w:fill="F4F7FB"/>
          </w:tcPr>
          <w:p>
            <w:pPr>
              <w:spacing w:before="40" w:after="40"/>
            </w:pPr>
            <w:r>
              <w:rPr>
                <w:sz w:val="18"/>
              </w:rPr>
              <w:t>C</w:t>
            </w:r>
          </w:p>
        </w:tc>
        <w:tc>
          <w:tcPr>
            <w:tcW w:type="dxa" w:w="1417"/>
            <w:shd w:val="clear" w:color="auto" w:fill="F4F7FB"/>
          </w:tcPr>
          <w:p>
            <w:pPr>
              <w:spacing w:before="40" w:after="40"/>
            </w:pPr>
            <w:r>
              <w:rPr>
                <w:sz w:val="18"/>
              </w:rPr>
              <w:t>C</w:t>
            </w:r>
          </w:p>
        </w:tc>
        <w:tc>
          <w:tcPr>
            <w:tcW w:type="dxa" w:w="1417"/>
            <w:shd w:val="clear" w:color="auto" w:fill="F4F7FB"/>
          </w:tcPr>
          <w:p>
            <w:pPr>
              <w:spacing w:before="40" w:after="40"/>
            </w:pPr>
            <w:r>
              <w:rPr>
                <w:sz w:val="18"/>
              </w:rPr>
              <w:t>I</w:t>
            </w:r>
          </w:p>
        </w:tc>
        <w:tc>
          <w:tcPr>
            <w:tcW w:type="dxa" w:w="1417"/>
            <w:shd w:val="clear" w:color="auto" w:fill="F4F7FB"/>
          </w:tcPr>
          <w:p>
            <w:pPr>
              <w:spacing w:before="40" w:after="40"/>
            </w:pPr>
            <w:r>
              <w:rPr>
                <w:sz w:val="18"/>
              </w:rPr>
              <w:t>A</w:t>
            </w:r>
          </w:p>
        </w:tc>
      </w:tr>
    </w:tbl>
    <w:p/>
    <w:p>
      <w:pPr>
        <w:spacing w:before="40" w:after="120"/>
        <w:jc w:val="left"/>
      </w:pPr>
      <w:r>
        <w:rPr>
          <w:b w:val="0"/>
          <w:sz w:val="17"/>
        </w:rPr>
        <w:t>R = Réalisateur | A = Approbateur | C = Consulté | I = Informé</w:t>
      </w:r>
    </w:p>
    <w:p>
      <w:r>
        <w:br w:type="page"/>
      </w:r>
    </w:p>
    <w:p>
      <w:pPr>
        <w:keepNext/>
        <w:spacing w:before="360" w:after="120"/>
      </w:pPr>
      <w:r>
        <w:rPr>
          <w:b/>
          <w:color w:val="009440"/>
          <w:sz w:val="26"/>
        </w:rPr>
        <w:t>13. CADRE LÉGAL ET CONFORMITÉ</w:t>
      </w:r>
    </w:p>
    <w:p>
      <w:pPr>
        <w:spacing w:before="80" w:after="80"/>
        <w:pBdr>
          <w:bottom w:val="single" w:sz="8" w:space="1" w:color="009440"/>
        </w:pBdr>
      </w:pPr>
    </w:p>
    <w:p>
      <w:pPr>
        <w:keepNext/>
        <w:spacing w:before="240" w:after="80"/>
      </w:pPr>
      <w:r>
        <w:rPr>
          <w:b/>
          <w:color w:val="003F8F"/>
          <w:sz w:val="22"/>
        </w:rPr>
        <w:t>13.1 Textes applicables</w:t>
      </w:r>
    </w:p>
    <w:p>
      <w:pPr>
        <w:pStyle w:val="ListBullet"/>
        <w:spacing w:before="20" w:after="60"/>
        <w:ind w:left="283"/>
      </w:pPr>
      <w:r>
        <w:rPr>
          <w:b/>
          <w:color w:val="003F8F"/>
        </w:rPr>
        <w:t>Loi n°009/2012 :</w:t>
      </w:r>
      <w:r>
        <w:t xml:space="preserve"> Code des investissements du Gabon — cadre des agréments industriels</w:t>
      </w:r>
    </w:p>
    <w:p>
      <w:pPr>
        <w:pStyle w:val="ListBullet"/>
        <w:spacing w:before="20" w:after="60"/>
        <w:ind w:left="283"/>
      </w:pPr>
      <w:r>
        <w:rPr>
          <w:b/>
          <w:color w:val="003F8F"/>
        </w:rPr>
        <w:t>Loi n°025/2018 :</w:t>
      </w:r>
      <w:r>
        <w:t xml:space="preserve"> Protection des données personnelles au Gabon</w:t>
      </w:r>
    </w:p>
    <w:p>
      <w:pPr>
        <w:pStyle w:val="ListBullet"/>
        <w:spacing w:before="20" w:after="60"/>
        <w:ind w:left="283"/>
      </w:pPr>
      <w:r>
        <w:rPr>
          <w:b/>
          <w:color w:val="003F8F"/>
        </w:rPr>
        <w:t>Stratégie Gabon Digital :</w:t>
      </w:r>
      <w:r>
        <w:t xml:space="preserve"> Référentiel national de transformation numérique</w:t>
      </w:r>
    </w:p>
    <w:p>
      <w:pPr>
        <w:pStyle w:val="ListBullet"/>
        <w:spacing w:before="20" w:after="60"/>
        <w:ind w:left="283"/>
      </w:pPr>
      <w:r>
        <w:rPr>
          <w:b/>
          <w:color w:val="003F8F"/>
        </w:rPr>
        <w:t>Accords CEMAC :</w:t>
      </w:r>
      <w:r>
        <w:t xml:space="preserve"> Harmonisation des procédures industrielles en Afrique centrale</w:t>
      </w:r>
    </w:p>
    <w:p>
      <w:pPr>
        <w:pStyle w:val="ListBullet"/>
        <w:spacing w:before="20" w:after="60"/>
        <w:ind w:left="283"/>
      </w:pPr>
      <w:r>
        <w:rPr>
          <w:b/>
          <w:color w:val="003F8F"/>
        </w:rPr>
        <w:t>RGPD :</w:t>
      </w:r>
      <w:r>
        <w:t xml:space="preserve"> Applicable aux entreprises européennes opérant au Gabon</w:t>
      </w:r>
    </w:p>
    <w:p>
      <w:pPr>
        <w:keepNext/>
        <w:spacing w:before="240" w:after="80"/>
      </w:pPr>
      <w:r>
        <w:rPr>
          <w:b/>
          <w:color w:val="003F8F"/>
          <w:sz w:val="22"/>
        </w:rPr>
        <w:t>13.2 Travaux réglementaires à mener en parallèle</w:t>
      </w:r>
    </w:p>
    <w:tbl>
      <w:tblPr>
        <w:tblStyle w:val="TableGrid"/>
        <w:tblW w:type="auto" w:w="0"/>
        <w:jc w:val="left"/>
        <w:tblLook w:firstColumn="1" w:firstRow="1" w:lastColumn="0" w:lastRow="0" w:noHBand="0" w:noVBand="1" w:val="04A0"/>
      </w:tblPr>
      <w:tblGrid>
        <w:gridCol w:w="3024"/>
        <w:gridCol w:w="3024"/>
        <w:gridCol w:w="3024"/>
      </w:tblGrid>
      <w:tr>
        <w:tc>
          <w:tcPr>
            <w:tcW w:type="dxa" w:w="2268"/>
            <w:shd w:val="clear" w:color="auto" w:fill="C0392B"/>
          </w:tcPr>
          <w:p>
            <w:pPr>
              <w:spacing w:before="60" w:after="60"/>
              <w:jc w:val="center"/>
            </w:pPr>
            <w:r>
              <w:rPr>
                <w:b/>
                <w:color w:val="FFFFFF"/>
                <w:sz w:val="18"/>
              </w:rPr>
              <w:t>Texte nécessaire</w:t>
            </w:r>
          </w:p>
        </w:tc>
        <w:tc>
          <w:tcPr>
            <w:tcW w:type="dxa" w:w="3969"/>
            <w:shd w:val="clear" w:color="auto" w:fill="C0392B"/>
          </w:tcPr>
          <w:p>
            <w:pPr>
              <w:spacing w:before="60" w:after="60"/>
              <w:jc w:val="center"/>
            </w:pPr>
            <w:r>
              <w:rPr>
                <w:b/>
                <w:color w:val="FFFFFF"/>
                <w:sz w:val="18"/>
              </w:rPr>
              <w:t>Objet</w:t>
            </w:r>
          </w:p>
        </w:tc>
        <w:tc>
          <w:tcPr>
            <w:tcW w:type="dxa" w:w="1984"/>
            <w:shd w:val="clear" w:color="auto" w:fill="C0392B"/>
          </w:tcPr>
          <w:p>
            <w:pPr>
              <w:spacing w:before="60" w:after="60"/>
              <w:jc w:val="center"/>
            </w:pPr>
            <w:r>
              <w:rPr>
                <w:b/>
                <w:color w:val="FFFFFF"/>
                <w:sz w:val="18"/>
              </w:rPr>
              <w:t>Priorité</w:t>
            </w:r>
          </w:p>
        </w:tc>
      </w:tr>
      <w:tr>
        <w:tc>
          <w:tcPr>
            <w:tcW w:type="dxa" w:w="2268"/>
            <w:shd w:val="clear" w:color="auto" w:fill="FFFFFF"/>
          </w:tcPr>
          <w:p>
            <w:pPr>
              <w:spacing w:before="40" w:after="40"/>
            </w:pPr>
            <w:r>
              <w:rPr>
                <w:b/>
                <w:sz w:val="18"/>
              </w:rPr>
              <w:t>Décret ou arrêté</w:t>
            </w:r>
          </w:p>
        </w:tc>
        <w:tc>
          <w:tcPr>
            <w:tcW w:type="dxa" w:w="3969"/>
            <w:shd w:val="clear" w:color="auto" w:fill="FFFFFF"/>
          </w:tcPr>
          <w:p>
            <w:pPr>
              <w:spacing w:before="40" w:after="40"/>
            </w:pPr>
            <w:r>
              <w:rPr>
                <w:sz w:val="18"/>
              </w:rPr>
              <w:t>Valeur juridique des agréments électroniques</w:t>
            </w:r>
          </w:p>
        </w:tc>
        <w:tc>
          <w:tcPr>
            <w:tcW w:type="dxa" w:w="1984"/>
            <w:shd w:val="clear" w:color="auto" w:fill="FFFFFF"/>
          </w:tcPr>
          <w:p>
            <w:pPr>
              <w:spacing w:before="40" w:after="40"/>
            </w:pPr>
            <w:r>
              <w:rPr>
                <w:sz w:val="18"/>
              </w:rPr>
              <w:t>CRITIQUE — avant M6</w:t>
            </w:r>
          </w:p>
        </w:tc>
      </w:tr>
      <w:tr>
        <w:tc>
          <w:tcPr>
            <w:tcW w:type="dxa" w:w="2268"/>
            <w:shd w:val="clear" w:color="auto" w:fill="F4F7FB"/>
          </w:tcPr>
          <w:p>
            <w:pPr>
              <w:spacing w:before="40" w:after="40"/>
            </w:pPr>
            <w:r>
              <w:rPr>
                <w:b/>
                <w:sz w:val="18"/>
              </w:rPr>
              <w:t>Arrêté ministériel</w:t>
            </w:r>
          </w:p>
        </w:tc>
        <w:tc>
          <w:tcPr>
            <w:tcW w:type="dxa" w:w="3969"/>
            <w:shd w:val="clear" w:color="auto" w:fill="F4F7FB"/>
          </w:tcPr>
          <w:p>
            <w:pPr>
              <w:spacing w:before="40" w:after="40"/>
            </w:pPr>
            <w:r>
              <w:rPr>
                <w:sz w:val="18"/>
              </w:rPr>
              <w:t>Définition et valeur du Dossier Industriel Unique (DIU)</w:t>
            </w:r>
          </w:p>
        </w:tc>
        <w:tc>
          <w:tcPr>
            <w:tcW w:type="dxa" w:w="1984"/>
            <w:shd w:val="clear" w:color="auto" w:fill="F4F7FB"/>
          </w:tcPr>
          <w:p>
            <w:pPr>
              <w:spacing w:before="40" w:after="40"/>
            </w:pPr>
            <w:r>
              <w:rPr>
                <w:sz w:val="18"/>
              </w:rPr>
              <w:t>Haute — avant M8</w:t>
            </w:r>
          </w:p>
        </w:tc>
      </w:tr>
      <w:tr>
        <w:tc>
          <w:tcPr>
            <w:tcW w:type="dxa" w:w="2268"/>
            <w:shd w:val="clear" w:color="auto" w:fill="FFFFFF"/>
          </w:tcPr>
          <w:p>
            <w:pPr>
              <w:spacing w:before="40" w:after="40"/>
            </w:pPr>
            <w:r>
              <w:rPr>
                <w:b/>
                <w:sz w:val="18"/>
              </w:rPr>
              <w:t>Convention inter-admin.</w:t>
            </w:r>
          </w:p>
        </w:tc>
        <w:tc>
          <w:tcPr>
            <w:tcW w:type="dxa" w:w="3969"/>
            <w:shd w:val="clear" w:color="auto" w:fill="FFFFFF"/>
          </w:tcPr>
          <w:p>
            <w:pPr>
              <w:spacing w:before="40" w:after="40"/>
            </w:pPr>
            <w:r>
              <w:rPr>
                <w:sz w:val="18"/>
              </w:rPr>
              <w:t>Cadre interopérabilité ANPI, DGI, Douanes</w:t>
            </w:r>
          </w:p>
        </w:tc>
        <w:tc>
          <w:tcPr>
            <w:tcW w:type="dxa" w:w="1984"/>
            <w:shd w:val="clear" w:color="auto" w:fill="FFFFFF"/>
          </w:tcPr>
          <w:p>
            <w:pPr>
              <w:spacing w:before="40" w:after="40"/>
            </w:pPr>
            <w:r>
              <w:rPr>
                <w:sz w:val="18"/>
              </w:rPr>
              <w:t>Moyenne — avant M10</w:t>
            </w:r>
          </w:p>
        </w:tc>
      </w:tr>
      <w:tr>
        <w:tc>
          <w:tcPr>
            <w:tcW w:type="dxa" w:w="2268"/>
            <w:shd w:val="clear" w:color="auto" w:fill="F4F7FB"/>
          </w:tcPr>
          <w:p>
            <w:pPr>
              <w:spacing w:before="40" w:after="40"/>
            </w:pPr>
            <w:r>
              <w:rPr>
                <w:b/>
                <w:sz w:val="18"/>
              </w:rPr>
              <w:t>Circulaire</w:t>
            </w:r>
          </w:p>
        </w:tc>
        <w:tc>
          <w:tcPr>
            <w:tcW w:type="dxa" w:w="3969"/>
            <w:shd w:val="clear" w:color="auto" w:fill="F4F7FB"/>
          </w:tcPr>
          <w:p>
            <w:pPr>
              <w:spacing w:before="40" w:after="40"/>
            </w:pPr>
            <w:r>
              <w:rPr>
                <w:sz w:val="18"/>
              </w:rPr>
              <w:t>Obligation d'utilisation du PNPI pour tous les dépôts</w:t>
            </w:r>
          </w:p>
        </w:tc>
        <w:tc>
          <w:tcPr>
            <w:tcW w:type="dxa" w:w="1984"/>
            <w:shd w:val="clear" w:color="auto" w:fill="F4F7FB"/>
          </w:tcPr>
          <w:p>
            <w:pPr>
              <w:spacing w:before="40" w:after="40"/>
            </w:pPr>
            <w:r>
              <w:rPr>
                <w:sz w:val="18"/>
              </w:rPr>
              <w:t>CRITIQUE — avant M12</w:t>
            </w:r>
          </w:p>
        </w:tc>
      </w:tr>
    </w:tbl>
    <w:p/>
    <w:p>
      <w:r>
        <w:br w:type="page"/>
      </w:r>
    </w:p>
    <w:p>
      <w:pPr>
        <w:keepNext/>
        <w:spacing w:before="360" w:after="120"/>
      </w:pPr>
      <w:r>
        <w:rPr>
          <w:b/>
          <w:color w:val="009440"/>
          <w:sz w:val="26"/>
        </w:rPr>
        <w:t>14. MATRICE DES RISQUES</w:t>
      </w:r>
    </w:p>
    <w:p>
      <w:pPr>
        <w:spacing w:before="80" w:after="80"/>
        <w:pBdr>
          <w:bottom w:val="single" w:sz="8" w:space="1" w:color="009440"/>
        </w:pBdr>
      </w:pP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454"/>
            <w:shd w:val="clear" w:color="auto" w:fill="C0392B"/>
          </w:tcPr>
          <w:p>
            <w:pPr>
              <w:spacing w:before="60" w:after="60"/>
              <w:jc w:val="center"/>
            </w:pPr>
            <w:r>
              <w:rPr>
                <w:b/>
                <w:color w:val="FFFFFF"/>
                <w:sz w:val="18"/>
              </w:rPr>
              <w:t>#</w:t>
            </w:r>
          </w:p>
        </w:tc>
        <w:tc>
          <w:tcPr>
            <w:tcW w:type="dxa" w:w="2551"/>
            <w:shd w:val="clear" w:color="auto" w:fill="C0392B"/>
          </w:tcPr>
          <w:p>
            <w:pPr>
              <w:spacing w:before="60" w:after="60"/>
              <w:jc w:val="center"/>
            </w:pPr>
            <w:r>
              <w:rPr>
                <w:b/>
                <w:color w:val="FFFFFF"/>
                <w:sz w:val="18"/>
              </w:rPr>
              <w:t>Risque</w:t>
            </w:r>
          </w:p>
        </w:tc>
        <w:tc>
          <w:tcPr>
            <w:tcW w:type="dxa" w:w="850"/>
            <w:shd w:val="clear" w:color="auto" w:fill="C0392B"/>
          </w:tcPr>
          <w:p>
            <w:pPr>
              <w:spacing w:before="60" w:after="60"/>
              <w:jc w:val="center"/>
            </w:pPr>
            <w:r>
              <w:rPr>
                <w:b/>
                <w:color w:val="FFFFFF"/>
                <w:sz w:val="18"/>
              </w:rPr>
              <w:t>Prob.</w:t>
            </w:r>
          </w:p>
        </w:tc>
        <w:tc>
          <w:tcPr>
            <w:tcW w:type="dxa" w:w="1020"/>
            <w:shd w:val="clear" w:color="auto" w:fill="C0392B"/>
          </w:tcPr>
          <w:p>
            <w:pPr>
              <w:spacing w:before="60" w:after="60"/>
              <w:jc w:val="center"/>
            </w:pPr>
            <w:r>
              <w:rPr>
                <w:b/>
                <w:color w:val="FFFFFF"/>
                <w:sz w:val="18"/>
              </w:rPr>
              <w:t>Impact</w:t>
            </w:r>
          </w:p>
        </w:tc>
        <w:tc>
          <w:tcPr>
            <w:tcW w:type="dxa" w:w="1020"/>
            <w:shd w:val="clear" w:color="auto" w:fill="C0392B"/>
          </w:tcPr>
          <w:p>
            <w:pPr>
              <w:spacing w:before="60" w:after="60"/>
              <w:jc w:val="center"/>
            </w:pPr>
            <w:r>
              <w:rPr>
                <w:b/>
                <w:color w:val="FFFFFF"/>
                <w:sz w:val="18"/>
              </w:rPr>
              <w:t>Niveau</w:t>
            </w:r>
          </w:p>
        </w:tc>
        <w:tc>
          <w:tcPr>
            <w:tcW w:type="dxa" w:w="3118"/>
            <w:shd w:val="clear" w:color="auto" w:fill="C0392B"/>
          </w:tcPr>
          <w:p>
            <w:pPr>
              <w:spacing w:before="60" w:after="60"/>
              <w:jc w:val="center"/>
            </w:pPr>
            <w:r>
              <w:rPr>
                <w:b/>
                <w:color w:val="FFFFFF"/>
                <w:sz w:val="18"/>
              </w:rPr>
              <w:t>Mesure d'atténuation</w:t>
            </w:r>
          </w:p>
        </w:tc>
      </w:tr>
      <w:tr>
        <w:tc>
          <w:tcPr>
            <w:tcW w:type="dxa" w:w="454"/>
            <w:shd w:val="clear" w:color="auto" w:fill="FFFFFF"/>
          </w:tcPr>
          <w:p>
            <w:pPr>
              <w:spacing w:before="40" w:after="40"/>
            </w:pPr>
            <w:r>
              <w:rPr>
                <w:b/>
                <w:sz w:val="18"/>
              </w:rPr>
              <w:t>R1</w:t>
            </w:r>
          </w:p>
        </w:tc>
        <w:tc>
          <w:tcPr>
            <w:tcW w:type="dxa" w:w="2551"/>
            <w:shd w:val="clear" w:color="auto" w:fill="FFFFFF"/>
          </w:tcPr>
          <w:p>
            <w:pPr>
              <w:spacing w:before="40" w:after="40"/>
            </w:pPr>
            <w:r>
              <w:rPr>
                <w:sz w:val="18"/>
              </w:rPr>
              <w:t>Résistance au changement des agents</w:t>
            </w:r>
          </w:p>
        </w:tc>
        <w:tc>
          <w:tcPr>
            <w:tcW w:type="dxa" w:w="850"/>
            <w:shd w:val="clear" w:color="auto" w:fill="FFFFFF"/>
          </w:tcPr>
          <w:p>
            <w:pPr>
              <w:spacing w:before="40" w:after="40"/>
            </w:pPr>
            <w:r>
              <w:rPr>
                <w:sz w:val="18"/>
              </w:rPr>
              <w:t>Haute</w:t>
            </w:r>
          </w:p>
        </w:tc>
        <w:tc>
          <w:tcPr>
            <w:tcW w:type="dxa" w:w="1020"/>
            <w:shd w:val="clear" w:color="auto" w:fill="FFFFFF"/>
          </w:tcPr>
          <w:p>
            <w:pPr>
              <w:spacing w:before="40" w:after="40"/>
            </w:pPr>
            <w:r>
              <w:rPr>
                <w:sz w:val="18"/>
              </w:rPr>
              <w:t>Critique</w:t>
            </w:r>
          </w:p>
        </w:tc>
        <w:tc>
          <w:tcPr>
            <w:tcW w:type="dxa" w:w="1020"/>
            <w:shd w:val="clear" w:color="auto" w:fill="FFFFFF"/>
          </w:tcPr>
          <w:p>
            <w:pPr>
              <w:spacing w:before="40" w:after="40"/>
            </w:pPr>
            <w:r>
              <w:rPr>
                <w:sz w:val="18"/>
              </w:rPr>
              <w:t>CRITIQUE</w:t>
            </w:r>
          </w:p>
        </w:tc>
        <w:tc>
          <w:tcPr>
            <w:tcW w:type="dxa" w:w="3118"/>
            <w:shd w:val="clear" w:color="auto" w:fill="FFFFFF"/>
          </w:tcPr>
          <w:p>
            <w:pPr>
              <w:spacing w:before="40" w:after="40"/>
            </w:pPr>
            <w:r>
              <w:rPr>
                <w:sz w:val="18"/>
              </w:rPr>
              <w:t>Plan change management dès M1, sponsors métiers, référents internes</w:t>
            </w:r>
          </w:p>
        </w:tc>
      </w:tr>
      <w:tr>
        <w:tc>
          <w:tcPr>
            <w:tcW w:type="dxa" w:w="454"/>
            <w:shd w:val="clear" w:color="auto" w:fill="F4F7FB"/>
          </w:tcPr>
          <w:p>
            <w:pPr>
              <w:spacing w:before="40" w:after="40"/>
            </w:pPr>
            <w:r>
              <w:rPr>
                <w:b/>
                <w:sz w:val="18"/>
              </w:rPr>
              <w:t>R2</w:t>
            </w:r>
          </w:p>
        </w:tc>
        <w:tc>
          <w:tcPr>
            <w:tcW w:type="dxa" w:w="2551"/>
            <w:shd w:val="clear" w:color="auto" w:fill="F4F7FB"/>
          </w:tcPr>
          <w:p>
            <w:pPr>
              <w:spacing w:before="40" w:after="40"/>
            </w:pPr>
            <w:r>
              <w:rPr>
                <w:sz w:val="18"/>
              </w:rPr>
              <w:t>Faible adoption des opérateurs</w:t>
            </w:r>
          </w:p>
        </w:tc>
        <w:tc>
          <w:tcPr>
            <w:tcW w:type="dxa" w:w="850"/>
            <w:shd w:val="clear" w:color="auto" w:fill="F4F7FB"/>
          </w:tcPr>
          <w:p>
            <w:pPr>
              <w:spacing w:before="40" w:after="40"/>
            </w:pPr>
            <w:r>
              <w:rPr>
                <w:sz w:val="18"/>
              </w:rPr>
              <w:t>Moyenne</w:t>
            </w:r>
          </w:p>
        </w:tc>
        <w:tc>
          <w:tcPr>
            <w:tcW w:type="dxa" w:w="1020"/>
            <w:shd w:val="clear" w:color="auto" w:fill="F4F7FB"/>
          </w:tcPr>
          <w:p>
            <w:pPr>
              <w:spacing w:before="40" w:after="40"/>
            </w:pPr>
            <w:r>
              <w:rPr>
                <w:sz w:val="18"/>
              </w:rPr>
              <w:t>Majeur</w:t>
            </w:r>
          </w:p>
        </w:tc>
        <w:tc>
          <w:tcPr>
            <w:tcW w:type="dxa" w:w="1020"/>
            <w:shd w:val="clear" w:color="auto" w:fill="F4F7FB"/>
          </w:tcPr>
          <w:p>
            <w:pPr>
              <w:spacing w:before="40" w:after="40"/>
            </w:pPr>
            <w:r>
              <w:rPr>
                <w:sz w:val="18"/>
              </w:rPr>
              <w:t>ÉLEVÉ</w:t>
            </w:r>
          </w:p>
        </w:tc>
        <w:tc>
          <w:tcPr>
            <w:tcW w:type="dxa" w:w="3118"/>
            <w:shd w:val="clear" w:color="auto" w:fill="F4F7FB"/>
          </w:tcPr>
          <w:p>
            <w:pPr>
              <w:spacing w:before="40" w:after="40"/>
            </w:pPr>
            <w:r>
              <w:rPr>
                <w:sz w:val="18"/>
              </w:rPr>
              <w:t>Module assistance PME, accompagnement terrain, communication ciblée</w:t>
            </w:r>
          </w:p>
        </w:tc>
      </w:tr>
      <w:tr>
        <w:tc>
          <w:tcPr>
            <w:tcW w:type="dxa" w:w="454"/>
            <w:shd w:val="clear" w:color="auto" w:fill="FFFFFF"/>
          </w:tcPr>
          <w:p>
            <w:pPr>
              <w:spacing w:before="40" w:after="40"/>
            </w:pPr>
            <w:r>
              <w:rPr>
                <w:b/>
                <w:sz w:val="18"/>
              </w:rPr>
              <w:t>R3</w:t>
            </w:r>
          </w:p>
        </w:tc>
        <w:tc>
          <w:tcPr>
            <w:tcW w:type="dxa" w:w="2551"/>
            <w:shd w:val="clear" w:color="auto" w:fill="FFFFFF"/>
          </w:tcPr>
          <w:p>
            <w:pPr>
              <w:spacing w:before="40" w:after="40"/>
            </w:pPr>
            <w:r>
              <w:rPr>
                <w:sz w:val="18"/>
              </w:rPr>
              <w:t>Budget insuffisant ou non engagé</w:t>
            </w:r>
          </w:p>
        </w:tc>
        <w:tc>
          <w:tcPr>
            <w:tcW w:type="dxa" w:w="850"/>
            <w:shd w:val="clear" w:color="auto" w:fill="FFFFFF"/>
          </w:tcPr>
          <w:p>
            <w:pPr>
              <w:spacing w:before="40" w:after="40"/>
            </w:pPr>
            <w:r>
              <w:rPr>
                <w:sz w:val="18"/>
              </w:rPr>
              <w:t>Moyenne</w:t>
            </w:r>
          </w:p>
        </w:tc>
        <w:tc>
          <w:tcPr>
            <w:tcW w:type="dxa" w:w="1020"/>
            <w:shd w:val="clear" w:color="auto" w:fill="FFFFFF"/>
          </w:tcPr>
          <w:p>
            <w:pPr>
              <w:spacing w:before="40" w:after="40"/>
            </w:pPr>
            <w:r>
              <w:rPr>
                <w:sz w:val="18"/>
              </w:rPr>
              <w:t>Critique</w:t>
            </w:r>
          </w:p>
        </w:tc>
        <w:tc>
          <w:tcPr>
            <w:tcW w:type="dxa" w:w="1020"/>
            <w:shd w:val="clear" w:color="auto" w:fill="FFFFFF"/>
          </w:tcPr>
          <w:p>
            <w:pPr>
              <w:spacing w:before="40" w:after="40"/>
            </w:pPr>
            <w:r>
              <w:rPr>
                <w:sz w:val="18"/>
              </w:rPr>
              <w:t>ÉLEVÉ</w:t>
            </w:r>
          </w:p>
        </w:tc>
        <w:tc>
          <w:tcPr>
            <w:tcW w:type="dxa" w:w="3118"/>
            <w:shd w:val="clear" w:color="auto" w:fill="FFFFFF"/>
          </w:tcPr>
          <w:p>
            <w:pPr>
              <w:spacing w:before="40" w:after="40"/>
            </w:pPr>
            <w:r>
              <w:rPr>
                <w:sz w:val="18"/>
              </w:rPr>
              <w:t>Phasage modulaire, co-financements extérieurs en parallèle</w:t>
            </w:r>
          </w:p>
        </w:tc>
      </w:tr>
      <w:tr>
        <w:tc>
          <w:tcPr>
            <w:tcW w:type="dxa" w:w="454"/>
            <w:shd w:val="clear" w:color="auto" w:fill="F4F7FB"/>
          </w:tcPr>
          <w:p>
            <w:pPr>
              <w:spacing w:before="40" w:after="40"/>
            </w:pPr>
            <w:r>
              <w:rPr>
                <w:b/>
                <w:sz w:val="18"/>
              </w:rPr>
              <w:t>R4</w:t>
            </w:r>
          </w:p>
        </w:tc>
        <w:tc>
          <w:tcPr>
            <w:tcW w:type="dxa" w:w="2551"/>
            <w:shd w:val="clear" w:color="auto" w:fill="F4F7FB"/>
          </w:tcPr>
          <w:p>
            <w:pPr>
              <w:spacing w:before="40" w:after="40"/>
            </w:pPr>
            <w:r>
              <w:rPr>
                <w:sz w:val="18"/>
              </w:rPr>
              <w:t>Connectivité insuffisante en provinces</w:t>
            </w:r>
          </w:p>
        </w:tc>
        <w:tc>
          <w:tcPr>
            <w:tcW w:type="dxa" w:w="850"/>
            <w:shd w:val="clear" w:color="auto" w:fill="F4F7FB"/>
          </w:tcPr>
          <w:p>
            <w:pPr>
              <w:spacing w:before="40" w:after="40"/>
            </w:pPr>
            <w:r>
              <w:rPr>
                <w:sz w:val="18"/>
              </w:rPr>
              <w:t>Haute</w:t>
            </w:r>
          </w:p>
        </w:tc>
        <w:tc>
          <w:tcPr>
            <w:tcW w:type="dxa" w:w="1020"/>
            <w:shd w:val="clear" w:color="auto" w:fill="F4F7FB"/>
          </w:tcPr>
          <w:p>
            <w:pPr>
              <w:spacing w:before="40" w:after="40"/>
            </w:pPr>
            <w:r>
              <w:rPr>
                <w:sz w:val="18"/>
              </w:rPr>
              <w:t>Majeur</w:t>
            </w:r>
          </w:p>
        </w:tc>
        <w:tc>
          <w:tcPr>
            <w:tcW w:type="dxa" w:w="1020"/>
            <w:shd w:val="clear" w:color="auto" w:fill="F4F7FB"/>
          </w:tcPr>
          <w:p>
            <w:pPr>
              <w:spacing w:before="40" w:after="40"/>
            </w:pPr>
            <w:r>
              <w:rPr>
                <w:sz w:val="18"/>
              </w:rPr>
              <w:t>ÉLEVÉ</w:t>
            </w:r>
          </w:p>
        </w:tc>
        <w:tc>
          <w:tcPr>
            <w:tcW w:type="dxa" w:w="3118"/>
            <w:shd w:val="clear" w:color="auto" w:fill="F4F7FB"/>
          </w:tcPr>
          <w:p>
            <w:pPr>
              <w:spacing w:before="40" w:after="40"/>
            </w:pPr>
            <w:r>
              <w:rPr>
                <w:sz w:val="18"/>
              </w:rPr>
              <w:t>Mode offline-first, synchronisation différée, VSAT zones critiques</w:t>
            </w:r>
          </w:p>
        </w:tc>
      </w:tr>
      <w:tr>
        <w:tc>
          <w:tcPr>
            <w:tcW w:type="dxa" w:w="454"/>
            <w:shd w:val="clear" w:color="auto" w:fill="FFFFFF"/>
          </w:tcPr>
          <w:p>
            <w:pPr>
              <w:spacing w:before="40" w:after="40"/>
            </w:pPr>
            <w:r>
              <w:rPr>
                <w:b/>
                <w:sz w:val="18"/>
              </w:rPr>
              <w:t>R5</w:t>
            </w:r>
          </w:p>
        </w:tc>
        <w:tc>
          <w:tcPr>
            <w:tcW w:type="dxa" w:w="2551"/>
            <w:shd w:val="clear" w:color="auto" w:fill="FFFFFF"/>
          </w:tcPr>
          <w:p>
            <w:pPr>
              <w:spacing w:before="40" w:after="40"/>
            </w:pPr>
            <w:r>
              <w:rPr>
                <w:sz w:val="18"/>
              </w:rPr>
              <w:t>Changement politique ou administratif</w:t>
            </w:r>
          </w:p>
        </w:tc>
        <w:tc>
          <w:tcPr>
            <w:tcW w:type="dxa" w:w="850"/>
            <w:shd w:val="clear" w:color="auto" w:fill="FFFFFF"/>
          </w:tcPr>
          <w:p>
            <w:pPr>
              <w:spacing w:before="40" w:after="40"/>
            </w:pPr>
            <w:r>
              <w:rPr>
                <w:sz w:val="18"/>
              </w:rPr>
              <w:t>Faible</w:t>
            </w:r>
          </w:p>
        </w:tc>
        <w:tc>
          <w:tcPr>
            <w:tcW w:type="dxa" w:w="1020"/>
            <w:shd w:val="clear" w:color="auto" w:fill="FFFFFF"/>
          </w:tcPr>
          <w:p>
            <w:pPr>
              <w:spacing w:before="40" w:after="40"/>
            </w:pPr>
            <w:r>
              <w:rPr>
                <w:sz w:val="18"/>
              </w:rPr>
              <w:t>Critique</w:t>
            </w:r>
          </w:p>
        </w:tc>
        <w:tc>
          <w:tcPr>
            <w:tcW w:type="dxa" w:w="1020"/>
            <w:shd w:val="clear" w:color="auto" w:fill="FFFFFF"/>
          </w:tcPr>
          <w:p>
            <w:pPr>
              <w:spacing w:before="40" w:after="40"/>
            </w:pPr>
            <w:r>
              <w:rPr>
                <w:sz w:val="18"/>
              </w:rPr>
              <w:t>ÉLEVÉ</w:t>
            </w:r>
          </w:p>
        </w:tc>
        <w:tc>
          <w:tcPr>
            <w:tcW w:type="dxa" w:w="3118"/>
            <w:shd w:val="clear" w:color="auto" w:fill="FFFFFF"/>
          </w:tcPr>
          <w:p>
            <w:pPr>
              <w:spacing w:before="40" w:after="40"/>
            </w:pPr>
            <w:r>
              <w:rPr>
                <w:sz w:val="18"/>
              </w:rPr>
              <w:t>Ancrage multi-acteurs, documentation exhaustive, transfert compétences</w:t>
            </w:r>
          </w:p>
        </w:tc>
      </w:tr>
      <w:tr>
        <w:tc>
          <w:tcPr>
            <w:tcW w:type="dxa" w:w="454"/>
            <w:shd w:val="clear" w:color="auto" w:fill="F4F7FB"/>
          </w:tcPr>
          <w:p>
            <w:pPr>
              <w:spacing w:before="40" w:after="40"/>
            </w:pPr>
            <w:r>
              <w:rPr>
                <w:b/>
                <w:sz w:val="18"/>
              </w:rPr>
              <w:t>R6</w:t>
            </w:r>
          </w:p>
        </w:tc>
        <w:tc>
          <w:tcPr>
            <w:tcW w:type="dxa" w:w="2551"/>
            <w:shd w:val="clear" w:color="auto" w:fill="F4F7FB"/>
          </w:tcPr>
          <w:p>
            <w:pPr>
              <w:spacing w:before="40" w:after="40"/>
            </w:pPr>
            <w:r>
              <w:rPr>
                <w:sz w:val="18"/>
              </w:rPr>
              <w:t>Risque cybersécurité / intrusion</w:t>
            </w:r>
          </w:p>
        </w:tc>
        <w:tc>
          <w:tcPr>
            <w:tcW w:type="dxa" w:w="850"/>
            <w:shd w:val="clear" w:color="auto" w:fill="F4F7FB"/>
          </w:tcPr>
          <w:p>
            <w:pPr>
              <w:spacing w:before="40" w:after="40"/>
            </w:pPr>
            <w:r>
              <w:rPr>
                <w:sz w:val="18"/>
              </w:rPr>
              <w:t>Faible</w:t>
            </w:r>
          </w:p>
        </w:tc>
        <w:tc>
          <w:tcPr>
            <w:tcW w:type="dxa" w:w="1020"/>
            <w:shd w:val="clear" w:color="auto" w:fill="F4F7FB"/>
          </w:tcPr>
          <w:p>
            <w:pPr>
              <w:spacing w:before="40" w:after="40"/>
            </w:pPr>
            <w:r>
              <w:rPr>
                <w:sz w:val="18"/>
              </w:rPr>
              <w:t>Critique</w:t>
            </w:r>
          </w:p>
        </w:tc>
        <w:tc>
          <w:tcPr>
            <w:tcW w:type="dxa" w:w="1020"/>
            <w:shd w:val="clear" w:color="auto" w:fill="F4F7FB"/>
          </w:tcPr>
          <w:p>
            <w:pPr>
              <w:spacing w:before="40" w:after="40"/>
            </w:pPr>
            <w:r>
              <w:rPr>
                <w:sz w:val="18"/>
              </w:rPr>
              <w:t>MOYEN</w:t>
            </w:r>
          </w:p>
        </w:tc>
        <w:tc>
          <w:tcPr>
            <w:tcW w:type="dxa" w:w="3118"/>
            <w:shd w:val="clear" w:color="auto" w:fill="F4F7FB"/>
          </w:tcPr>
          <w:p>
            <w:pPr>
              <w:spacing w:before="40" w:after="40"/>
            </w:pPr>
            <w:r>
              <w:rPr>
                <w:sz w:val="18"/>
              </w:rPr>
              <w:t>MFA, audit, journalisation exhaustive, PRA/PCA, pentest régulier</w:t>
            </w:r>
          </w:p>
        </w:tc>
      </w:tr>
      <w:tr>
        <w:tc>
          <w:tcPr>
            <w:tcW w:type="dxa" w:w="454"/>
            <w:shd w:val="clear" w:color="auto" w:fill="FFFFFF"/>
          </w:tcPr>
          <w:p>
            <w:pPr>
              <w:spacing w:before="40" w:after="40"/>
            </w:pPr>
            <w:r>
              <w:rPr>
                <w:b/>
                <w:sz w:val="18"/>
              </w:rPr>
              <w:t>R7</w:t>
            </w:r>
          </w:p>
        </w:tc>
        <w:tc>
          <w:tcPr>
            <w:tcW w:type="dxa" w:w="2551"/>
            <w:shd w:val="clear" w:color="auto" w:fill="FFFFFF"/>
          </w:tcPr>
          <w:p>
            <w:pPr>
              <w:spacing w:before="40" w:after="40"/>
            </w:pPr>
            <w:r>
              <w:rPr>
                <w:sz w:val="18"/>
              </w:rPr>
              <w:t>Qualité insuffisante des données initiales</w:t>
            </w:r>
          </w:p>
        </w:tc>
        <w:tc>
          <w:tcPr>
            <w:tcW w:type="dxa" w:w="850"/>
            <w:shd w:val="clear" w:color="auto" w:fill="FFFFFF"/>
          </w:tcPr>
          <w:p>
            <w:pPr>
              <w:spacing w:before="40" w:after="40"/>
            </w:pPr>
            <w:r>
              <w:rPr>
                <w:sz w:val="18"/>
              </w:rPr>
              <w:t>Haute</w:t>
            </w:r>
          </w:p>
        </w:tc>
        <w:tc>
          <w:tcPr>
            <w:tcW w:type="dxa" w:w="1020"/>
            <w:shd w:val="clear" w:color="auto" w:fill="FFFFFF"/>
          </w:tcPr>
          <w:p>
            <w:pPr>
              <w:spacing w:before="40" w:after="40"/>
            </w:pPr>
            <w:r>
              <w:rPr>
                <w:sz w:val="18"/>
              </w:rPr>
              <w:t>Modéré</w:t>
            </w:r>
          </w:p>
        </w:tc>
        <w:tc>
          <w:tcPr>
            <w:tcW w:type="dxa" w:w="1020"/>
            <w:shd w:val="clear" w:color="auto" w:fill="FFFFFF"/>
          </w:tcPr>
          <w:p>
            <w:pPr>
              <w:spacing w:before="40" w:after="40"/>
            </w:pPr>
            <w:r>
              <w:rPr>
                <w:sz w:val="18"/>
              </w:rPr>
              <w:t>MOYEN</w:t>
            </w:r>
          </w:p>
        </w:tc>
        <w:tc>
          <w:tcPr>
            <w:tcW w:type="dxa" w:w="3118"/>
            <w:shd w:val="clear" w:color="auto" w:fill="FFFFFF"/>
          </w:tcPr>
          <w:p>
            <w:pPr>
              <w:spacing w:before="40" w:after="40"/>
            </w:pPr>
            <w:r>
              <w:rPr>
                <w:sz w:val="18"/>
              </w:rPr>
              <w:t>Règles de validation strictes, module de migration des données</w:t>
            </w:r>
          </w:p>
        </w:tc>
      </w:tr>
      <w:tr>
        <w:tc>
          <w:tcPr>
            <w:tcW w:type="dxa" w:w="454"/>
            <w:shd w:val="clear" w:color="auto" w:fill="F4F7FB"/>
          </w:tcPr>
          <w:p>
            <w:pPr>
              <w:spacing w:before="40" w:after="40"/>
            </w:pPr>
            <w:r>
              <w:rPr>
                <w:b/>
                <w:sz w:val="18"/>
              </w:rPr>
              <w:t>R8</w:t>
            </w:r>
          </w:p>
        </w:tc>
        <w:tc>
          <w:tcPr>
            <w:tcW w:type="dxa" w:w="2551"/>
            <w:shd w:val="clear" w:color="auto" w:fill="F4F7FB"/>
          </w:tcPr>
          <w:p>
            <w:pPr>
              <w:spacing w:before="40" w:after="40"/>
            </w:pPr>
            <w:r>
              <w:rPr>
                <w:sz w:val="18"/>
              </w:rPr>
              <w:t>Dépendance fournisseur technologique</w:t>
            </w:r>
          </w:p>
        </w:tc>
        <w:tc>
          <w:tcPr>
            <w:tcW w:type="dxa" w:w="850"/>
            <w:shd w:val="clear" w:color="auto" w:fill="F4F7FB"/>
          </w:tcPr>
          <w:p>
            <w:pPr>
              <w:spacing w:before="40" w:after="40"/>
            </w:pPr>
            <w:r>
              <w:rPr>
                <w:sz w:val="18"/>
              </w:rPr>
              <w:t>Moyenne</w:t>
            </w:r>
          </w:p>
        </w:tc>
        <w:tc>
          <w:tcPr>
            <w:tcW w:type="dxa" w:w="1020"/>
            <w:shd w:val="clear" w:color="auto" w:fill="F4F7FB"/>
          </w:tcPr>
          <w:p>
            <w:pPr>
              <w:spacing w:before="40" w:after="40"/>
            </w:pPr>
            <w:r>
              <w:rPr>
                <w:sz w:val="18"/>
              </w:rPr>
              <w:t>Modéré</w:t>
            </w:r>
          </w:p>
        </w:tc>
        <w:tc>
          <w:tcPr>
            <w:tcW w:type="dxa" w:w="1020"/>
            <w:shd w:val="clear" w:color="auto" w:fill="F4F7FB"/>
          </w:tcPr>
          <w:p>
            <w:pPr>
              <w:spacing w:before="40" w:after="40"/>
            </w:pPr>
            <w:r>
              <w:rPr>
                <w:sz w:val="18"/>
              </w:rPr>
              <w:t>MOYEN</w:t>
            </w:r>
          </w:p>
        </w:tc>
        <w:tc>
          <w:tcPr>
            <w:tcW w:type="dxa" w:w="3118"/>
            <w:shd w:val="clear" w:color="auto" w:fill="F4F7FB"/>
          </w:tcPr>
          <w:p>
            <w:pPr>
              <w:spacing w:before="40" w:after="40"/>
            </w:pPr>
            <w:r>
              <w:rPr>
                <w:sz w:val="18"/>
              </w:rPr>
              <w:t>Clauses de réversibilité, code open source, transfert compétences</w:t>
            </w:r>
          </w:p>
        </w:tc>
      </w:tr>
      <w:tr>
        <w:tc>
          <w:tcPr>
            <w:tcW w:type="dxa" w:w="454"/>
            <w:shd w:val="clear" w:color="auto" w:fill="FFFFFF"/>
          </w:tcPr>
          <w:p>
            <w:pPr>
              <w:spacing w:before="40" w:after="40"/>
            </w:pPr>
            <w:r>
              <w:rPr>
                <w:b/>
                <w:sz w:val="18"/>
              </w:rPr>
              <w:t>R9</w:t>
            </w:r>
          </w:p>
        </w:tc>
        <w:tc>
          <w:tcPr>
            <w:tcW w:type="dxa" w:w="2551"/>
            <w:shd w:val="clear" w:color="auto" w:fill="FFFFFF"/>
          </w:tcPr>
          <w:p>
            <w:pPr>
              <w:spacing w:before="40" w:after="40"/>
            </w:pPr>
            <w:r>
              <w:rPr>
                <w:sz w:val="18"/>
              </w:rPr>
              <w:t>Délai de mise en œuvre dépassé</w:t>
            </w:r>
          </w:p>
        </w:tc>
        <w:tc>
          <w:tcPr>
            <w:tcW w:type="dxa" w:w="850"/>
            <w:shd w:val="clear" w:color="auto" w:fill="FFFFFF"/>
          </w:tcPr>
          <w:p>
            <w:pPr>
              <w:spacing w:before="40" w:after="40"/>
            </w:pPr>
            <w:r>
              <w:rPr>
                <w:sz w:val="18"/>
              </w:rPr>
              <w:t>Moyenne</w:t>
            </w:r>
          </w:p>
        </w:tc>
        <w:tc>
          <w:tcPr>
            <w:tcW w:type="dxa" w:w="1020"/>
            <w:shd w:val="clear" w:color="auto" w:fill="FFFFFF"/>
          </w:tcPr>
          <w:p>
            <w:pPr>
              <w:spacing w:before="40" w:after="40"/>
            </w:pPr>
            <w:r>
              <w:rPr>
                <w:sz w:val="18"/>
              </w:rPr>
              <w:t>Modéré</w:t>
            </w:r>
          </w:p>
        </w:tc>
        <w:tc>
          <w:tcPr>
            <w:tcW w:type="dxa" w:w="1020"/>
            <w:shd w:val="clear" w:color="auto" w:fill="FFFFFF"/>
          </w:tcPr>
          <w:p>
            <w:pPr>
              <w:spacing w:before="40" w:after="40"/>
            </w:pPr>
            <w:r>
              <w:rPr>
                <w:sz w:val="18"/>
              </w:rPr>
              <w:t>MOYEN</w:t>
            </w:r>
          </w:p>
        </w:tc>
        <w:tc>
          <w:tcPr>
            <w:tcW w:type="dxa" w:w="3118"/>
            <w:shd w:val="clear" w:color="auto" w:fill="FFFFFF"/>
          </w:tcPr>
          <w:p>
            <w:pPr>
              <w:spacing w:before="40" w:after="40"/>
            </w:pPr>
            <w:r>
              <w:rPr>
                <w:sz w:val="18"/>
              </w:rPr>
              <w:t>Méthode Agile, jalons intermédiaires, contingence 10%</w:t>
            </w:r>
          </w:p>
        </w:tc>
      </w:tr>
      <w:tr>
        <w:tc>
          <w:tcPr>
            <w:tcW w:type="dxa" w:w="454"/>
            <w:shd w:val="clear" w:color="auto" w:fill="F4F7FB"/>
          </w:tcPr>
          <w:p>
            <w:pPr>
              <w:spacing w:before="40" w:after="40"/>
            </w:pPr>
            <w:r>
              <w:rPr>
                <w:b/>
                <w:sz w:val="18"/>
              </w:rPr>
              <w:t>R10</w:t>
            </w:r>
          </w:p>
        </w:tc>
        <w:tc>
          <w:tcPr>
            <w:tcW w:type="dxa" w:w="2551"/>
            <w:shd w:val="clear" w:color="auto" w:fill="F4F7FB"/>
          </w:tcPr>
          <w:p>
            <w:pPr>
              <w:spacing w:before="40" w:after="40"/>
            </w:pPr>
            <w:r>
              <w:rPr>
                <w:sz w:val="18"/>
              </w:rPr>
              <w:t>Interopérabilité bloquée</w:t>
            </w:r>
          </w:p>
        </w:tc>
        <w:tc>
          <w:tcPr>
            <w:tcW w:type="dxa" w:w="850"/>
            <w:shd w:val="clear" w:color="auto" w:fill="F4F7FB"/>
          </w:tcPr>
          <w:p>
            <w:pPr>
              <w:spacing w:before="40" w:after="40"/>
            </w:pPr>
            <w:r>
              <w:rPr>
                <w:sz w:val="18"/>
              </w:rPr>
              <w:t>Haute</w:t>
            </w:r>
          </w:p>
        </w:tc>
        <w:tc>
          <w:tcPr>
            <w:tcW w:type="dxa" w:w="1020"/>
            <w:shd w:val="clear" w:color="auto" w:fill="F4F7FB"/>
          </w:tcPr>
          <w:p>
            <w:pPr>
              <w:spacing w:before="40" w:after="40"/>
            </w:pPr>
            <w:r>
              <w:rPr>
                <w:sz w:val="18"/>
              </w:rPr>
              <w:t>Faible</w:t>
            </w:r>
          </w:p>
        </w:tc>
        <w:tc>
          <w:tcPr>
            <w:tcW w:type="dxa" w:w="1020"/>
            <w:shd w:val="clear" w:color="auto" w:fill="F4F7FB"/>
          </w:tcPr>
          <w:p>
            <w:pPr>
              <w:spacing w:before="40" w:after="40"/>
            </w:pPr>
            <w:r>
              <w:rPr>
                <w:sz w:val="18"/>
              </w:rPr>
              <w:t>FAIBLE</w:t>
            </w:r>
          </w:p>
        </w:tc>
        <w:tc>
          <w:tcPr>
            <w:tcW w:type="dxa" w:w="3118"/>
            <w:shd w:val="clear" w:color="auto" w:fill="F4F7FB"/>
          </w:tcPr>
          <w:p>
            <w:pPr>
              <w:spacing w:before="40" w:after="40"/>
            </w:pPr>
            <w:r>
              <w:rPr>
                <w:sz w:val="18"/>
              </w:rPr>
              <w:t>Architecture stubs — activation progressive — Phase 1 indépendante</w:t>
            </w:r>
          </w:p>
        </w:tc>
      </w:tr>
    </w:tbl>
    <w:p/>
    <w:p>
      <w:r>
        <w:br w:type="page"/>
      </w:r>
    </w:p>
    <w:p>
      <w:pPr>
        <w:keepNext/>
        <w:spacing w:before="360" w:after="120"/>
      </w:pPr>
      <w:r>
        <w:rPr>
          <w:b/>
          <w:color w:val="009440"/>
          <w:sz w:val="26"/>
        </w:rPr>
        <w:t>15. STRATÉGIE DE DÉPLOIEMENT TERRITORIAL</w:t>
      </w:r>
    </w:p>
    <w:p>
      <w:pPr>
        <w:spacing w:before="80" w:after="80"/>
        <w:pBdr>
          <w:bottom w:val="single" w:sz="8" w:space="1" w:color="009440"/>
        </w:pBdr>
      </w:pPr>
    </w:p>
    <w:p>
      <w:pPr>
        <w:keepNext/>
        <w:spacing w:before="240" w:after="80"/>
      </w:pPr>
      <w:r>
        <w:rPr>
          <w:b/>
          <w:color w:val="003F8F"/>
          <w:sz w:val="22"/>
        </w:rPr>
        <w:t>15.1 Approche par vagues (9 provinces)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134"/>
            <w:shd w:val="clear" w:color="auto" w:fill="009440"/>
          </w:tcPr>
          <w:p>
            <w:pPr>
              <w:spacing w:before="60" w:after="60"/>
              <w:jc w:val="center"/>
            </w:pPr>
            <w:r>
              <w:rPr>
                <w:b/>
                <w:color w:val="FFFFFF"/>
                <w:sz w:val="18"/>
              </w:rPr>
              <w:t>Vague</w:t>
            </w:r>
          </w:p>
        </w:tc>
        <w:tc>
          <w:tcPr>
            <w:tcW w:type="dxa" w:w="1134"/>
            <w:shd w:val="clear" w:color="auto" w:fill="009440"/>
          </w:tcPr>
          <w:p>
            <w:pPr>
              <w:spacing w:before="60" w:after="60"/>
              <w:jc w:val="center"/>
            </w:pPr>
            <w:r>
              <w:rPr>
                <w:b/>
                <w:color w:val="FFFFFF"/>
                <w:sz w:val="18"/>
              </w:rPr>
              <w:t>Période</w:t>
            </w:r>
          </w:p>
        </w:tc>
        <w:tc>
          <w:tcPr>
            <w:tcW w:type="dxa" w:w="2835"/>
            <w:shd w:val="clear" w:color="auto" w:fill="009440"/>
          </w:tcPr>
          <w:p>
            <w:pPr>
              <w:spacing w:before="60" w:after="60"/>
              <w:jc w:val="center"/>
            </w:pPr>
            <w:r>
              <w:rPr>
                <w:b/>
                <w:color w:val="FFFFFF"/>
                <w:sz w:val="18"/>
              </w:rPr>
              <w:t>Couverture</w:t>
            </w:r>
          </w:p>
        </w:tc>
        <w:tc>
          <w:tcPr>
            <w:tcW w:type="dxa" w:w="3685"/>
            <w:shd w:val="clear" w:color="auto" w:fill="009440"/>
          </w:tcPr>
          <w:p>
            <w:pPr>
              <w:spacing w:before="60" w:after="60"/>
              <w:jc w:val="center"/>
            </w:pPr>
            <w:r>
              <w:rPr>
                <w:b/>
                <w:color w:val="FFFFFF"/>
                <w:sz w:val="18"/>
              </w:rPr>
              <w:t>Justification</w:t>
            </w:r>
          </w:p>
        </w:tc>
      </w:tr>
      <w:tr>
        <w:tc>
          <w:tcPr>
            <w:tcW w:type="dxa" w:w="1134"/>
            <w:shd w:val="clear" w:color="auto" w:fill="FFFFFF"/>
          </w:tcPr>
          <w:p>
            <w:pPr>
              <w:spacing w:before="40" w:after="40"/>
            </w:pPr>
            <w:r>
              <w:rPr>
                <w:b/>
                <w:sz w:val="18"/>
              </w:rPr>
              <w:t>Vague 1</w:t>
            </w:r>
          </w:p>
        </w:tc>
        <w:tc>
          <w:tcPr>
            <w:tcW w:type="dxa" w:w="1134"/>
            <w:shd w:val="clear" w:color="auto" w:fill="FFFFFF"/>
          </w:tcPr>
          <w:p>
            <w:pPr>
              <w:spacing w:before="40" w:after="40"/>
            </w:pPr>
            <w:r>
              <w:rPr>
                <w:sz w:val="18"/>
              </w:rPr>
              <w:t>M6–M8</w:t>
            </w:r>
          </w:p>
        </w:tc>
        <w:tc>
          <w:tcPr>
            <w:tcW w:type="dxa" w:w="2835"/>
            <w:shd w:val="clear" w:color="auto" w:fill="FFFFFF"/>
          </w:tcPr>
          <w:p>
            <w:pPr>
              <w:spacing w:before="40" w:after="40"/>
            </w:pPr>
            <w:r>
              <w:rPr>
                <w:sz w:val="18"/>
              </w:rPr>
              <w:t>Libreville (Estuaire)</w:t>
            </w:r>
          </w:p>
        </w:tc>
        <w:tc>
          <w:tcPr>
            <w:tcW w:type="dxa" w:w="3685"/>
            <w:shd w:val="clear" w:color="auto" w:fill="FFFFFF"/>
          </w:tcPr>
          <w:p>
            <w:pPr>
              <w:spacing w:before="40" w:after="40"/>
            </w:pPr>
            <w:r>
              <w:rPr>
                <w:sz w:val="18"/>
              </w:rPr>
              <w:t>80% des dossiers ATI — connectivité fibre — sièges sociaux</w:t>
            </w:r>
          </w:p>
        </w:tc>
      </w:tr>
      <w:tr>
        <w:tc>
          <w:tcPr>
            <w:tcW w:type="dxa" w:w="1134"/>
            <w:shd w:val="clear" w:color="auto" w:fill="F4F7FB"/>
          </w:tcPr>
          <w:p>
            <w:pPr>
              <w:spacing w:before="40" w:after="40"/>
            </w:pPr>
            <w:r>
              <w:rPr>
                <w:b/>
                <w:sz w:val="18"/>
              </w:rPr>
              <w:t>Vague 2</w:t>
            </w:r>
          </w:p>
        </w:tc>
        <w:tc>
          <w:tcPr>
            <w:tcW w:type="dxa" w:w="1134"/>
            <w:shd w:val="clear" w:color="auto" w:fill="F4F7FB"/>
          </w:tcPr>
          <w:p>
            <w:pPr>
              <w:spacing w:before="40" w:after="40"/>
            </w:pPr>
            <w:r>
              <w:rPr>
                <w:sz w:val="18"/>
              </w:rPr>
              <w:t>M9–M10</w:t>
            </w:r>
          </w:p>
        </w:tc>
        <w:tc>
          <w:tcPr>
            <w:tcW w:type="dxa" w:w="2835"/>
            <w:shd w:val="clear" w:color="auto" w:fill="F4F7FB"/>
          </w:tcPr>
          <w:p>
            <w:pPr>
              <w:spacing w:before="40" w:after="40"/>
            </w:pPr>
            <w:r>
              <w:rPr>
                <w:sz w:val="18"/>
              </w:rPr>
              <w:t>Port-Gentil + Franceville</w:t>
            </w:r>
          </w:p>
        </w:tc>
        <w:tc>
          <w:tcPr>
            <w:tcW w:type="dxa" w:w="3685"/>
            <w:shd w:val="clear" w:color="auto" w:fill="F4F7FB"/>
          </w:tcPr>
          <w:p>
            <w:pPr>
              <w:spacing w:before="40" w:after="40"/>
            </w:pPr>
            <w:r>
              <w:rPr>
                <w:sz w:val="18"/>
              </w:rPr>
              <w:t>Industrie pétrolière (Ogooué-Maritime) + minière (Comilog)</w:t>
            </w:r>
          </w:p>
        </w:tc>
      </w:tr>
      <w:tr>
        <w:tc>
          <w:tcPr>
            <w:tcW w:type="dxa" w:w="1134"/>
            <w:shd w:val="clear" w:color="auto" w:fill="FFFFFF"/>
          </w:tcPr>
          <w:p>
            <w:pPr>
              <w:spacing w:before="40" w:after="40"/>
            </w:pPr>
            <w:r>
              <w:rPr>
                <w:b/>
                <w:sz w:val="18"/>
              </w:rPr>
              <w:t>Vague 3</w:t>
            </w:r>
          </w:p>
        </w:tc>
        <w:tc>
          <w:tcPr>
            <w:tcW w:type="dxa" w:w="1134"/>
            <w:shd w:val="clear" w:color="auto" w:fill="FFFFFF"/>
          </w:tcPr>
          <w:p>
            <w:pPr>
              <w:spacing w:before="40" w:after="40"/>
            </w:pPr>
            <w:r>
              <w:rPr>
                <w:sz w:val="18"/>
              </w:rPr>
              <w:t>M11–M12</w:t>
            </w:r>
          </w:p>
        </w:tc>
        <w:tc>
          <w:tcPr>
            <w:tcW w:type="dxa" w:w="2835"/>
            <w:shd w:val="clear" w:color="auto" w:fill="FFFFFF"/>
          </w:tcPr>
          <w:p>
            <w:pPr>
              <w:spacing w:before="40" w:after="40"/>
            </w:pPr>
            <w:r>
              <w:rPr>
                <w:sz w:val="18"/>
              </w:rPr>
              <w:t>Oyem, Lambaréné, Mouila + provinces</w:t>
            </w:r>
          </w:p>
        </w:tc>
        <w:tc>
          <w:tcPr>
            <w:tcW w:type="dxa" w:w="3685"/>
            <w:shd w:val="clear" w:color="auto" w:fill="FFFFFF"/>
          </w:tcPr>
          <w:p>
            <w:pPr>
              <w:spacing w:before="40" w:after="40"/>
            </w:pPr>
            <w:r>
              <w:rPr>
                <w:sz w:val="18"/>
              </w:rPr>
              <w:t>Agroalimentaire, forêt, pêche — déploiement national complet</w:t>
            </w:r>
          </w:p>
        </w:tc>
      </w:tr>
    </w:tbl>
    <w:p/>
    <w:p>
      <w:pPr>
        <w:keepNext/>
        <w:spacing w:before="240" w:after="80"/>
      </w:pPr>
      <w:r>
        <w:rPr>
          <w:b/>
          <w:color w:val="003F8F"/>
          <w:sz w:val="22"/>
        </w:rPr>
        <w:t>15.2 Solutions pour les zones à connectivité limitée</w:t>
      </w:r>
    </w:p>
    <w:p>
      <w:pPr>
        <w:pStyle w:val="ListBullet"/>
        <w:spacing w:before="20" w:after="60"/>
        <w:ind w:left="283"/>
      </w:pPr>
      <w:r>
        <w:rPr>
          <w:b/>
          <w:color w:val="003F8F"/>
        </w:rPr>
        <w:t>Mode offline-first :</w:t>
      </w:r>
      <w:r>
        <w:t xml:space="preserve"> L'application mobile des inspecteurs fonctionne sans connexion. Données synchronisées dès reconnexion.</w:t>
      </w:r>
    </w:p>
    <w:p>
      <w:pPr>
        <w:pStyle w:val="ListBullet"/>
        <w:spacing w:before="20" w:after="60"/>
        <w:ind w:left="283"/>
      </w:pPr>
      <w:r>
        <w:rPr>
          <w:b/>
          <w:color w:val="003F8F"/>
        </w:rPr>
        <w:t>Points d'accès dédiés :</w:t>
      </w:r>
      <w:r>
        <w:t xml:space="preserve"> Points d'accès dédiés dans chaque chef-lieu provincial (mairies, agences ANPI locales).</w:t>
      </w:r>
    </w:p>
    <w:p>
      <w:pPr>
        <w:pStyle w:val="ListBullet"/>
        <w:spacing w:before="20" w:after="60"/>
        <w:ind w:left="283"/>
      </w:pPr>
      <w:r>
        <w:rPr>
          <w:b/>
          <w:color w:val="003F8F"/>
        </w:rPr>
        <w:t>Agents-relais :</w:t>
      </w:r>
      <w:r>
        <w:t xml:space="preserve"> Formation d'agents-relais provinciaux capables d'assister les opérateurs au dépôt numérique.</w:t>
      </w:r>
    </w:p>
    <w:p>
      <w:r>
        <w:br w:type="page"/>
      </w:r>
    </w:p>
    <w:p>
      <w:pPr>
        <w:keepNext/>
        <w:spacing w:before="360" w:after="120"/>
      </w:pPr>
      <w:r>
        <w:rPr>
          <w:b/>
          <w:color w:val="009440"/>
          <w:sz w:val="26"/>
        </w:rPr>
        <w:t>16. DÉCISIONS ATTENDUES</w:t>
      </w:r>
    </w:p>
    <w:p>
      <w:pPr>
        <w:spacing w:before="80" w:after="80"/>
        <w:pBdr>
          <w:bottom w:val="single" w:sz="8" w:space="1" w:color="009440"/>
        </w:pBdr>
      </w:pPr>
    </w:p>
    <w:p>
      <w:pPr>
        <w:spacing w:before="40" w:after="120"/>
        <w:jc w:val="left"/>
      </w:pPr>
      <w:r>
        <w:rPr>
          <w:b w:val="0"/>
        </w:rPr>
        <w:t>À l'issue de la présentation de cette note, les décisions suivantes sont sollicitées :</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397"/>
            <w:shd w:val="clear" w:color="auto" w:fill="003F8F"/>
          </w:tcPr>
          <w:p>
            <w:pPr>
              <w:spacing w:before="60" w:after="60"/>
              <w:jc w:val="center"/>
            </w:pPr>
            <w:r>
              <w:rPr>
                <w:b/>
                <w:color w:val="FFFFFF"/>
                <w:sz w:val="18"/>
              </w:rPr>
              <w:t>#</w:t>
            </w:r>
          </w:p>
        </w:tc>
        <w:tc>
          <w:tcPr>
            <w:tcW w:type="dxa" w:w="3969"/>
            <w:shd w:val="clear" w:color="auto" w:fill="003F8F"/>
          </w:tcPr>
          <w:p>
            <w:pPr>
              <w:spacing w:before="60" w:after="60"/>
              <w:jc w:val="center"/>
            </w:pPr>
            <w:r>
              <w:rPr>
                <w:b/>
                <w:color w:val="FFFFFF"/>
                <w:sz w:val="18"/>
              </w:rPr>
              <w:t>Décision</w:t>
            </w:r>
          </w:p>
        </w:tc>
        <w:tc>
          <w:tcPr>
            <w:tcW w:type="dxa" w:w="2268"/>
            <w:shd w:val="clear" w:color="auto" w:fill="003F8F"/>
          </w:tcPr>
          <w:p>
            <w:pPr>
              <w:spacing w:before="60" w:after="60"/>
              <w:jc w:val="center"/>
            </w:pPr>
            <w:r>
              <w:rPr>
                <w:b/>
                <w:color w:val="FFFFFF"/>
                <w:sz w:val="18"/>
              </w:rPr>
              <w:t>Responsable</w:t>
            </w:r>
          </w:p>
        </w:tc>
        <w:tc>
          <w:tcPr>
            <w:tcW w:type="dxa" w:w="1417"/>
            <w:shd w:val="clear" w:color="auto" w:fill="003F8F"/>
          </w:tcPr>
          <w:p>
            <w:pPr>
              <w:spacing w:before="60" w:after="60"/>
              <w:jc w:val="center"/>
            </w:pPr>
            <w:r>
              <w:rPr>
                <w:b/>
                <w:color w:val="FFFFFF"/>
                <w:sz w:val="18"/>
              </w:rPr>
              <w:t>Délai souhaité</w:t>
            </w:r>
          </w:p>
        </w:tc>
      </w:tr>
      <w:tr>
        <w:tc>
          <w:tcPr>
            <w:tcW w:type="dxa" w:w="397"/>
            <w:shd w:val="clear" w:color="auto" w:fill="FFFFFF"/>
          </w:tcPr>
          <w:p>
            <w:pPr>
              <w:spacing w:before="40" w:after="40"/>
            </w:pPr>
            <w:r>
              <w:rPr>
                <w:b/>
                <w:sz w:val="18"/>
              </w:rPr>
              <w:t>1</w:t>
            </w:r>
          </w:p>
        </w:tc>
        <w:tc>
          <w:tcPr>
            <w:tcW w:type="dxa" w:w="3969"/>
            <w:shd w:val="clear" w:color="auto" w:fill="FFFFFF"/>
          </w:tcPr>
          <w:p>
            <w:pPr>
              <w:spacing w:before="40" w:after="40"/>
            </w:pPr>
            <w:r>
              <w:rPr>
                <w:sz w:val="18"/>
              </w:rPr>
              <w:t>Validation du lancement de la Phase 1</w:t>
            </w:r>
          </w:p>
        </w:tc>
        <w:tc>
          <w:tcPr>
            <w:tcW w:type="dxa" w:w="2268"/>
            <w:shd w:val="clear" w:color="auto" w:fill="FFFFFF"/>
          </w:tcPr>
          <w:p>
            <w:pPr>
              <w:spacing w:before="40" w:after="40"/>
            </w:pPr>
            <w:r>
              <w:rPr>
                <w:sz w:val="18"/>
              </w:rPr>
              <w:t>Ministre / COPIL</w:t>
            </w:r>
          </w:p>
        </w:tc>
        <w:tc>
          <w:tcPr>
            <w:tcW w:type="dxa" w:w="1417"/>
            <w:shd w:val="clear" w:color="auto" w:fill="FFFFFF"/>
          </w:tcPr>
          <w:p>
            <w:pPr>
              <w:spacing w:before="40" w:after="40"/>
            </w:pPr>
            <w:r>
              <w:rPr>
                <w:sz w:val="18"/>
              </w:rPr>
              <w:t>J+15</w:t>
            </w:r>
          </w:p>
        </w:tc>
      </w:tr>
      <w:tr>
        <w:tc>
          <w:tcPr>
            <w:tcW w:type="dxa" w:w="397"/>
            <w:shd w:val="clear" w:color="auto" w:fill="F4F7FB"/>
          </w:tcPr>
          <w:p>
            <w:pPr>
              <w:spacing w:before="40" w:after="40"/>
            </w:pPr>
            <w:r>
              <w:rPr>
                <w:b/>
                <w:sz w:val="18"/>
              </w:rPr>
              <w:t>2</w:t>
            </w:r>
          </w:p>
        </w:tc>
        <w:tc>
          <w:tcPr>
            <w:tcW w:type="dxa" w:w="3969"/>
            <w:shd w:val="clear" w:color="auto" w:fill="F4F7FB"/>
          </w:tcPr>
          <w:p>
            <w:pPr>
              <w:spacing w:before="40" w:after="40"/>
            </w:pPr>
            <w:r>
              <w:rPr>
                <w:sz w:val="18"/>
              </w:rPr>
              <w:t>Validation de la gouvernance proposée</w:t>
            </w:r>
          </w:p>
        </w:tc>
        <w:tc>
          <w:tcPr>
            <w:tcW w:type="dxa" w:w="2268"/>
            <w:shd w:val="clear" w:color="auto" w:fill="F4F7FB"/>
          </w:tcPr>
          <w:p>
            <w:pPr>
              <w:spacing w:before="40" w:after="40"/>
            </w:pPr>
            <w:r>
              <w:rPr>
                <w:sz w:val="18"/>
              </w:rPr>
              <w:t>Secrétaire Général</w:t>
            </w:r>
          </w:p>
        </w:tc>
        <w:tc>
          <w:tcPr>
            <w:tcW w:type="dxa" w:w="1417"/>
            <w:shd w:val="clear" w:color="auto" w:fill="F4F7FB"/>
          </w:tcPr>
          <w:p>
            <w:pPr>
              <w:spacing w:before="40" w:after="40"/>
            </w:pPr>
            <w:r>
              <w:rPr>
                <w:sz w:val="18"/>
              </w:rPr>
              <w:t>J+15</w:t>
            </w:r>
          </w:p>
        </w:tc>
      </w:tr>
      <w:tr>
        <w:tc>
          <w:tcPr>
            <w:tcW w:type="dxa" w:w="397"/>
            <w:shd w:val="clear" w:color="auto" w:fill="FFFFFF"/>
          </w:tcPr>
          <w:p>
            <w:pPr>
              <w:spacing w:before="40" w:after="40"/>
            </w:pPr>
            <w:r>
              <w:rPr>
                <w:b/>
                <w:sz w:val="18"/>
              </w:rPr>
              <w:t>3</w:t>
            </w:r>
          </w:p>
        </w:tc>
        <w:tc>
          <w:tcPr>
            <w:tcW w:type="dxa" w:w="3969"/>
            <w:shd w:val="clear" w:color="auto" w:fill="FFFFFF"/>
          </w:tcPr>
          <w:p>
            <w:pPr>
              <w:spacing w:before="40" w:after="40"/>
            </w:pPr>
            <w:r>
              <w:rPr>
                <w:sz w:val="18"/>
              </w:rPr>
              <w:t>Validation de l'enveloppe budgétaire</w:t>
            </w:r>
          </w:p>
        </w:tc>
        <w:tc>
          <w:tcPr>
            <w:tcW w:type="dxa" w:w="2268"/>
            <w:shd w:val="clear" w:color="auto" w:fill="FFFFFF"/>
          </w:tcPr>
          <w:p>
            <w:pPr>
              <w:spacing w:before="40" w:after="40"/>
            </w:pPr>
            <w:r>
              <w:rPr>
                <w:sz w:val="18"/>
              </w:rPr>
              <w:t>Ministère des Finances</w:t>
            </w:r>
          </w:p>
        </w:tc>
        <w:tc>
          <w:tcPr>
            <w:tcW w:type="dxa" w:w="1417"/>
            <w:shd w:val="clear" w:color="auto" w:fill="FFFFFF"/>
          </w:tcPr>
          <w:p>
            <w:pPr>
              <w:spacing w:before="40" w:after="40"/>
            </w:pPr>
            <w:r>
              <w:rPr>
                <w:sz w:val="18"/>
              </w:rPr>
              <w:t>J+30</w:t>
            </w:r>
          </w:p>
        </w:tc>
      </w:tr>
      <w:tr>
        <w:tc>
          <w:tcPr>
            <w:tcW w:type="dxa" w:w="397"/>
            <w:shd w:val="clear" w:color="auto" w:fill="F4F7FB"/>
          </w:tcPr>
          <w:p>
            <w:pPr>
              <w:spacing w:before="40" w:after="40"/>
            </w:pPr>
            <w:r>
              <w:rPr>
                <w:b/>
                <w:sz w:val="18"/>
              </w:rPr>
              <w:t>4</w:t>
            </w:r>
          </w:p>
        </w:tc>
        <w:tc>
          <w:tcPr>
            <w:tcW w:type="dxa" w:w="3969"/>
            <w:shd w:val="clear" w:color="auto" w:fill="F4F7FB"/>
          </w:tcPr>
          <w:p>
            <w:pPr>
              <w:spacing w:before="40" w:after="40"/>
            </w:pPr>
            <w:r>
              <w:rPr>
                <w:sz w:val="18"/>
              </w:rPr>
              <w:t>Désignation du Directeur de Programme</w:t>
            </w:r>
          </w:p>
        </w:tc>
        <w:tc>
          <w:tcPr>
            <w:tcW w:type="dxa" w:w="2268"/>
            <w:shd w:val="clear" w:color="auto" w:fill="F4F7FB"/>
          </w:tcPr>
          <w:p>
            <w:pPr>
              <w:spacing w:before="40" w:after="40"/>
            </w:pPr>
            <w:r>
              <w:rPr>
                <w:sz w:val="18"/>
              </w:rPr>
              <w:t>Ministre</w:t>
            </w:r>
          </w:p>
        </w:tc>
        <w:tc>
          <w:tcPr>
            <w:tcW w:type="dxa" w:w="1417"/>
            <w:shd w:val="clear" w:color="auto" w:fill="F4F7FB"/>
          </w:tcPr>
          <w:p>
            <w:pPr>
              <w:spacing w:before="40" w:after="40"/>
            </w:pPr>
            <w:r>
              <w:rPr>
                <w:sz w:val="18"/>
              </w:rPr>
              <w:t>J+10</w:t>
            </w:r>
          </w:p>
        </w:tc>
      </w:tr>
      <w:tr>
        <w:tc>
          <w:tcPr>
            <w:tcW w:type="dxa" w:w="397"/>
            <w:shd w:val="clear" w:color="auto" w:fill="FFFFFF"/>
          </w:tcPr>
          <w:p>
            <w:pPr>
              <w:spacing w:before="40" w:after="40"/>
            </w:pPr>
            <w:r>
              <w:rPr>
                <w:b/>
                <w:sz w:val="18"/>
              </w:rPr>
              <w:t>5</w:t>
            </w:r>
          </w:p>
        </w:tc>
        <w:tc>
          <w:tcPr>
            <w:tcW w:type="dxa" w:w="3969"/>
            <w:shd w:val="clear" w:color="auto" w:fill="FFFFFF"/>
          </w:tcPr>
          <w:p>
            <w:pPr>
              <w:spacing w:before="40" w:after="40"/>
            </w:pPr>
            <w:r>
              <w:rPr>
                <w:sz w:val="18"/>
              </w:rPr>
              <w:t>Désignation des référents métiers</w:t>
            </w:r>
          </w:p>
        </w:tc>
        <w:tc>
          <w:tcPr>
            <w:tcW w:type="dxa" w:w="2268"/>
            <w:shd w:val="clear" w:color="auto" w:fill="FFFFFF"/>
          </w:tcPr>
          <w:p>
            <w:pPr>
              <w:spacing w:before="40" w:after="40"/>
            </w:pPr>
            <w:r>
              <w:rPr>
                <w:sz w:val="18"/>
              </w:rPr>
              <w:t>Directeurs Généraux</w:t>
            </w:r>
          </w:p>
        </w:tc>
        <w:tc>
          <w:tcPr>
            <w:tcW w:type="dxa" w:w="1417"/>
            <w:shd w:val="clear" w:color="auto" w:fill="FFFFFF"/>
          </w:tcPr>
          <w:p>
            <w:pPr>
              <w:spacing w:before="40" w:after="40"/>
            </w:pPr>
            <w:r>
              <w:rPr>
                <w:sz w:val="18"/>
              </w:rPr>
              <w:t>J+15</w:t>
            </w:r>
          </w:p>
        </w:tc>
      </w:tr>
      <w:tr>
        <w:tc>
          <w:tcPr>
            <w:tcW w:type="dxa" w:w="397"/>
            <w:shd w:val="clear" w:color="auto" w:fill="F4F7FB"/>
          </w:tcPr>
          <w:p>
            <w:pPr>
              <w:spacing w:before="40" w:after="40"/>
            </w:pPr>
            <w:r>
              <w:rPr>
                <w:b/>
                <w:sz w:val="18"/>
              </w:rPr>
              <w:t>6</w:t>
            </w:r>
          </w:p>
        </w:tc>
        <w:tc>
          <w:tcPr>
            <w:tcW w:type="dxa" w:w="3969"/>
            <w:shd w:val="clear" w:color="auto" w:fill="F4F7FB"/>
          </w:tcPr>
          <w:p>
            <w:pPr>
              <w:spacing w:before="40" w:after="40"/>
            </w:pPr>
            <w:r>
              <w:rPr>
                <w:sz w:val="18"/>
              </w:rPr>
              <w:t>Lancement des démarches de co-financement (BM/UE/AFD)</w:t>
            </w:r>
          </w:p>
        </w:tc>
        <w:tc>
          <w:tcPr>
            <w:tcW w:type="dxa" w:w="2268"/>
            <w:shd w:val="clear" w:color="auto" w:fill="F4F7FB"/>
          </w:tcPr>
          <w:p>
            <w:pPr>
              <w:spacing w:before="40" w:after="40"/>
            </w:pPr>
            <w:r>
              <w:rPr>
                <w:sz w:val="18"/>
              </w:rPr>
              <w:t>Direction Programme</w:t>
            </w:r>
          </w:p>
        </w:tc>
        <w:tc>
          <w:tcPr>
            <w:tcW w:type="dxa" w:w="1417"/>
            <w:shd w:val="clear" w:color="auto" w:fill="F4F7FB"/>
          </w:tcPr>
          <w:p>
            <w:pPr>
              <w:spacing w:before="40" w:after="40"/>
            </w:pPr>
            <w:r>
              <w:rPr>
                <w:sz w:val="18"/>
              </w:rPr>
              <w:t>J+30</w:t>
            </w:r>
          </w:p>
        </w:tc>
      </w:tr>
      <w:tr>
        <w:tc>
          <w:tcPr>
            <w:tcW w:type="dxa" w:w="397"/>
            <w:shd w:val="clear" w:color="auto" w:fill="FFFFFF"/>
          </w:tcPr>
          <w:p>
            <w:pPr>
              <w:spacing w:before="40" w:after="40"/>
            </w:pPr>
            <w:r>
              <w:rPr>
                <w:b/>
                <w:sz w:val="18"/>
              </w:rPr>
              <w:t>7</w:t>
            </w:r>
          </w:p>
        </w:tc>
        <w:tc>
          <w:tcPr>
            <w:tcW w:type="dxa" w:w="3969"/>
            <w:shd w:val="clear" w:color="auto" w:fill="FFFFFF"/>
          </w:tcPr>
          <w:p>
            <w:pPr>
              <w:spacing w:before="40" w:after="40"/>
            </w:pPr>
            <w:r>
              <w:rPr>
                <w:sz w:val="18"/>
              </w:rPr>
              <w:t>Lancement des travaux réglementaires (valeur juridique ATI numérique)</w:t>
            </w:r>
          </w:p>
        </w:tc>
        <w:tc>
          <w:tcPr>
            <w:tcW w:type="dxa" w:w="2268"/>
            <w:shd w:val="clear" w:color="auto" w:fill="FFFFFF"/>
          </w:tcPr>
          <w:p>
            <w:pPr>
              <w:spacing w:before="40" w:after="40"/>
            </w:pPr>
            <w:r>
              <w:rPr>
                <w:sz w:val="18"/>
              </w:rPr>
              <w:t>Dir. Juridique</w:t>
            </w:r>
          </w:p>
        </w:tc>
        <w:tc>
          <w:tcPr>
            <w:tcW w:type="dxa" w:w="1417"/>
            <w:shd w:val="clear" w:color="auto" w:fill="FFFFFF"/>
          </w:tcPr>
          <w:p>
            <w:pPr>
              <w:spacing w:before="40" w:after="40"/>
            </w:pPr>
            <w:r>
              <w:rPr>
                <w:sz w:val="18"/>
              </w:rPr>
              <w:t>J+30</w:t>
            </w:r>
          </w:p>
        </w:tc>
      </w:tr>
    </w:tbl>
    <w:p/>
    <w:p>
      <w:r>
        <w:br w:type="page"/>
      </w:r>
    </w:p>
    <w:p>
      <w:pPr>
        <w:keepNext/>
        <w:spacing w:before="360" w:after="120"/>
      </w:pPr>
      <w:r>
        <w:rPr>
          <w:b/>
          <w:color w:val="009440"/>
          <w:sz w:val="26"/>
        </w:rPr>
        <w:t>CONCLUSION</w:t>
      </w:r>
    </w:p>
    <w:p>
      <w:pPr>
        <w:spacing w:before="80" w:after="80"/>
        <w:pBdr>
          <w:bottom w:val="single" w:sz="8" w:space="1" w:color="009440"/>
        </w:pBdr>
      </w:pPr>
    </w:p>
    <w:p>
      <w:pPr>
        <w:spacing w:before="120" w:after="160"/>
        <w:jc w:val="left"/>
      </w:pPr>
      <w:r>
        <w:rPr>
          <w:b w:val="0"/>
        </w:rPr>
        <w:t>Le PNPI n'est pas un projet de modernisation administrative parmi d'autres. C'est l'instrument qui transforme le Ministère de l'Industrie en institution de pilotage industriel de classe mondiale.</w:t>
      </w:r>
    </w:p>
    <w:p>
      <w:pPr>
        <w:pStyle w:val="ListBullet"/>
        <w:spacing w:before="20" w:after="60"/>
        <w:ind w:left="283"/>
      </w:pPr>
      <w:r>
        <w:t>Réduit de 75% les délais d'agrément industriel en 12 mois</w:t>
      </w:r>
    </w:p>
    <w:p>
      <w:pPr>
        <w:pStyle w:val="ListBullet"/>
        <w:spacing w:before="20" w:after="60"/>
        <w:ind w:left="283"/>
      </w:pPr>
      <w:r>
        <w:t>Élimine structurellement la corruption dans les processus d'agrément</w:t>
      </w:r>
    </w:p>
    <w:p>
      <w:pPr>
        <w:pStyle w:val="ListBullet"/>
        <w:spacing w:before="20" w:after="60"/>
        <w:ind w:left="283"/>
      </w:pPr>
      <w:r>
        <w:t>Dote le Gabon d'une cartographie industrielle nationale — pour la première fois de son histoire</w:t>
      </w:r>
    </w:p>
    <w:p>
      <w:pPr>
        <w:pStyle w:val="ListBullet"/>
        <w:spacing w:before="20" w:after="60"/>
        <w:ind w:left="283"/>
      </w:pPr>
      <w:r>
        <w:t>Affirme la souveraineté numérique gabonaise sur ses données industrielles stratégiques</w:t>
      </w:r>
    </w:p>
    <w:p>
      <w:pPr>
        <w:pStyle w:val="ListBullet"/>
        <w:spacing w:before="20" w:after="60"/>
        <w:ind w:left="283"/>
      </w:pPr>
      <w:r>
        <w:t>Rejoint les nations africaines leaders de la gouvernance économique digitale</w:t>
      </w:r>
    </w:p>
    <w:p/>
    <w:tbl>
      <w:tblPr>
        <w:tblStyle w:val="TableGrid"/>
        <w:tblW w:type="auto" w:w="0"/>
        <w:tblLook w:firstColumn="1" w:firstRow="1" w:lastColumn="0" w:lastRow="0" w:noHBand="0" w:noVBand="1" w:val="04A0"/>
      </w:tblPr>
      <w:tblGrid>
        <w:gridCol w:w="9072"/>
      </w:tblGrid>
      <w:tr>
        <w:tc>
          <w:tcPr>
            <w:tcW w:type="dxa" w:w="9071"/>
            <w:shd w:val="clear" w:color="auto" w:fill="E8F4EC"/>
          </w:tcPr>
          <w:p>
            <w:pPr>
              <w:spacing w:before="80" w:after="80"/>
              <w:ind w:left="170"/>
            </w:pPr>
            <w:r>
              <w:rPr>
                <w:b w:val="0"/>
                <w:color w:val="1A1A2E"/>
                <w:sz w:val="20"/>
              </w:rPr>
              <w:t>Les pays qui nous précèdent — Rwanda, Sénégal, Maroc, Côte d'Ivoire — ont prouvé que c'est possible. Le contexte de la Transition en fait le moment idéal. Les partenaires financiers sont prêts.</w:t>
              <w:br/>
              <w:br/>
              <w:t>Il ne manque que la décision.</w:t>
            </w:r>
          </w:p>
        </w:tc>
      </w:tr>
    </w:tbl>
    <w:p/>
    <w:p/>
    <w:tbl>
      <w:tblPr>
        <w:tblW w:type="auto" w:w="0"/>
        <w:jc w:val="center"/>
        <w:tblLook w:firstColumn="1" w:firstRow="1" w:lastColumn="0" w:lastRow="0" w:noHBand="0" w:noVBand="1" w:val="04A0"/>
      </w:tblPr>
      <w:tblGrid>
        <w:gridCol w:w="3024"/>
        <w:gridCol w:w="3024"/>
        <w:gridCol w:w="3024"/>
      </w:tblGrid>
      <w:tr>
        <w:tc>
          <w:tcPr>
            <w:tcW w:type="dxa" w:w="3024"/>
            <w:shd w:val="clear" w:color="auto" w:fill="009440"/>
          </w:tcPr>
          <w:p>
            <w:pPr>
              <w:spacing w:before="160" w:after="160"/>
              <w:jc w:val="center"/>
            </w:pPr>
            <w:r>
              <w:rPr>
                <w:b/>
                <w:color w:val="FFFFFF"/>
                <w:sz w:val="24"/>
              </w:rPr>
              <w:t>Souveraineté</w:t>
            </w:r>
          </w:p>
        </w:tc>
        <w:tc>
          <w:tcPr>
            <w:tcW w:type="dxa" w:w="3024"/>
            <w:shd w:val="clear" w:color="auto" w:fill="FFCD00"/>
          </w:tcPr>
          <w:p>
            <w:pPr>
              <w:spacing w:before="160" w:after="160"/>
              <w:jc w:val="center"/>
            </w:pPr>
            <w:r>
              <w:rPr>
                <w:b/>
                <w:color w:val="1A1A2E"/>
                <w:sz w:val="24"/>
              </w:rPr>
              <w:t>Transparence</w:t>
            </w:r>
          </w:p>
        </w:tc>
        <w:tc>
          <w:tcPr>
            <w:tcW w:type="dxa" w:w="3024"/>
            <w:shd w:val="clear" w:color="auto" w:fill="003F8F"/>
          </w:tcPr>
          <w:p>
            <w:pPr>
              <w:spacing w:before="160" w:after="160"/>
              <w:jc w:val="center"/>
            </w:pPr>
            <w:r>
              <w:rPr>
                <w:b/>
                <w:color w:val="FFFFFF"/>
                <w:sz w:val="24"/>
              </w:rPr>
              <w:t>Performance</w:t>
            </w:r>
          </w:p>
        </w:tc>
      </w:tr>
    </w:tbl>
    <w:p/>
    <w:p>
      <w:pPr>
        <w:spacing w:before="200" w:after="120"/>
        <w:jc w:val="center"/>
      </w:pPr>
      <w:r>
        <w:rPr>
          <w:b w:val="0"/>
          <w:color w:val="808080"/>
          <w:sz w:val="17"/>
        </w:rPr>
        <w:t>Document préparé par l'équipe projet PNPI — Version 2.0 — Février 2026</w:t>
        <w:br/>
        <w:t>Ministère de l'Industrie et de la Transformation Locale — République Gabonaise</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