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4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  <w:t xml:space="preserve">DonutShop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Doelstelling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In deze opdracht maken we gebruik van Enums, Arrays en TijdsIntanties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1 - UML 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0" style="width:432.0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2 - Uitleg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We zullen in onze main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DonutBar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aan maken. Deze zal heel wat logica bevatten.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ervoor dat we een menu krijgen van de mogelijke opties van de Bar aan de hand van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DonutTypes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voor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van je machine. Deze zullen we gaan bijhouden als int waarde. Zorg ervoor dat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telkens gecheckt wordt als er een verkoop wordt gevraagd. Zorg ervoor dat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wordt aangemaakt als het gekozen type nog voorhanden is.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dus voor een methode die een object van het type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terug heeft van uw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- Geef een bericht als één van de keuzes op is en laat de user opnieuw kiezen -.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ook wanneer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verkocht wordt er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Ticket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wordt bijgehouden waarin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zal staan en zijn kostPrijs.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voor een TicketArray in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Register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van onze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DonutBar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, zodat we onze dag kunnen bijhouden. Zorg ervoor dat we via enkele methoden zowel het TotaalVerkochteTickets(aantal) als de reeds behaalde winst.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Bonus: Voeg een Tijdsdatum toe aan aan ticket met het huidige tijdstip bij aanmaken.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3 - Opdracht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Laat de user 5 Donuts kiezen.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Toon ook het tijdsverschil in seconden tussen het eerste ticket en het laaste ticket.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