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4A8ED260" w:rsidR="00816F3D" w:rsidRPr="00641F3E" w:rsidRDefault="00816F3D" w:rsidP="00816F3D">
      <w:pPr>
        <w:bidi/>
        <w:jc w:val="center"/>
        <w:rPr>
          <w:rFonts w:asciiTheme="majorBidi" w:hAnsiTheme="majorBidi" w:cstheme="majorBidi"/>
        </w:rPr>
      </w:pPr>
      <w:r w:rsidRPr="00641F3E">
        <w:rPr>
          <w:rFonts w:asciiTheme="majorBidi" w:hAnsiTheme="majorBidi" w:cstheme="majorBidi"/>
        </w:rPr>
        <w:t>20092905</w:t>
      </w:r>
      <w:r w:rsidRPr="00641F3E">
        <w:rPr>
          <w:rFonts w:asciiTheme="majorBidi" w:hAnsiTheme="majorBidi" w:cstheme="majorBidi"/>
          <w:rtl/>
        </w:rPr>
        <w:t xml:space="preserve"> </w:t>
      </w:r>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63C35559" w14:textId="2AC8B862" w:rsidR="000E43BB" w:rsidRDefault="000E43BB">
      <w:pPr>
        <w:spacing w:after="160" w:line="259" w:lineRule="auto"/>
      </w:pPr>
      <w:r>
        <w:t>&lt;</w:t>
      </w:r>
      <w:r w:rsidRPr="000E43BB">
        <w:rPr>
          <w:highlight w:val="green"/>
        </w:rPr>
        <w:t>write abstract</w:t>
      </w:r>
      <w:r>
        <w:t>&gt;</w:t>
      </w:r>
    </w:p>
    <w:p w14:paraId="7E44A567" w14:textId="2523A6D1" w:rsidR="00150895" w:rsidRDefault="00150895">
      <w:pPr>
        <w:spacing w:after="160" w:line="259" w:lineRule="auto"/>
        <w:rPr>
          <w:rFonts w:eastAsiaTheme="majorEastAsia" w:cs="Times New Roman"/>
          <w:b/>
          <w:bCs w:val="0"/>
          <w:color w:val="auto"/>
          <w:spacing w:val="-10"/>
          <w:kern w:val="28"/>
          <w:sz w:val="40"/>
          <w:szCs w:val="40"/>
          <w:lang w:val="en-US"/>
        </w:rPr>
      </w:pPr>
      <w:r>
        <w:br w:type="page"/>
      </w:r>
    </w:p>
    <w:p w14:paraId="37C52550" w14:textId="59ADDEAE" w:rsidR="00150895" w:rsidRDefault="00150895" w:rsidP="00150895">
      <w:pPr>
        <w:pStyle w:val="UOB-ChapterCover"/>
        <w:jc w:val="left"/>
      </w:pPr>
      <w:r>
        <w:lastRenderedPageBreak/>
        <w:t>Acknowledgements</w:t>
      </w:r>
    </w:p>
    <w:p w14:paraId="7505DE54" w14:textId="695E70BB" w:rsidR="00150895" w:rsidRDefault="00150895" w:rsidP="009C42A2">
      <w:pPr>
        <w:pStyle w:val="UOB-Body"/>
      </w:pPr>
      <w:r>
        <w:t>We would like to acknowledge Dr. Sawsan Hilal</w:t>
      </w:r>
      <w:r w:rsidR="00763C79">
        <w:t>, University of Bahrain,</w:t>
      </w:r>
      <w:r>
        <w:t xml:space="preserve"> for her continuous support and guidance throughout this research and report writing.</w:t>
      </w:r>
      <w:r w:rsidR="009C42A2">
        <w:t xml:space="preserve"> </w:t>
      </w:r>
      <w:r>
        <w:t>We would also like to acknowledge Our World in Data for their efforts in making such useful data publicly available and free to use.</w:t>
      </w:r>
    </w:p>
    <w:p w14:paraId="6717A6A0" w14:textId="14ADEFD8" w:rsidR="005A4B8F" w:rsidRPr="005A4B8F" w:rsidRDefault="000E43BB" w:rsidP="005A4B8F">
      <w:pPr>
        <w:rPr>
          <w:lang w:val="en-US"/>
        </w:rPr>
      </w:pPr>
      <w:r>
        <w:rPr>
          <w:lang w:val="en-US"/>
        </w:rPr>
        <w:t>&lt;</w:t>
      </w:r>
      <w:r w:rsidRPr="000E43BB">
        <w:rPr>
          <w:highlight w:val="green"/>
          <w:lang w:val="en-US"/>
        </w:rPr>
        <w:t>double check if we missed anyone</w:t>
      </w:r>
      <w:r>
        <w:rPr>
          <w:lang w:val="en-US"/>
        </w:rPr>
        <w:t>&gt;</w:t>
      </w:r>
    </w:p>
    <w:p w14:paraId="1B52F25F" w14:textId="77777777" w:rsidR="00150895" w:rsidRDefault="00150895">
      <w:pPr>
        <w:spacing w:after="160" w:line="259" w:lineRule="auto"/>
      </w:pPr>
      <w:r>
        <w:rPr>
          <w:bCs w:val="0"/>
        </w:rPr>
        <w:br w:type="page"/>
      </w: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A8A6BB6" w:rsidR="00806020" w:rsidRPr="00806020" w:rsidRDefault="00806020">
          <w:pPr>
            <w:pStyle w:val="TOCHeading"/>
            <w:rPr>
              <w:rStyle w:val="UOB-ChapterCoverChar"/>
              <w:color w:val="auto"/>
            </w:rPr>
          </w:pPr>
          <w:r w:rsidRPr="00806020">
            <w:rPr>
              <w:rStyle w:val="UOB-ChapterCoverChar"/>
              <w:color w:val="auto"/>
            </w:rPr>
            <w:t>Table of Contents</w:t>
          </w:r>
        </w:p>
        <w:p w14:paraId="5A95C618" w14:textId="7AC63C99" w:rsidR="000E43BB"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72900" w:history="1">
            <w:r w:rsidR="000E43BB" w:rsidRPr="00774B55">
              <w:rPr>
                <w:rStyle w:val="Hyperlink"/>
                <w:rFonts w:eastAsiaTheme="majorEastAsia"/>
                <w:noProof/>
              </w:rPr>
              <w:t>1</w:t>
            </w:r>
            <w:r w:rsidR="000E43BB">
              <w:rPr>
                <w:rFonts w:asciiTheme="minorHAnsi" w:eastAsiaTheme="minorEastAsia" w:hAnsiTheme="minorHAnsi" w:cstheme="minorBidi"/>
                <w:bCs w:val="0"/>
                <w:noProof/>
                <w:color w:val="auto"/>
                <w:sz w:val="22"/>
                <w:szCs w:val="22"/>
                <w:lang w:eastAsia="en-GB"/>
              </w:rPr>
              <w:tab/>
            </w:r>
            <w:r w:rsidR="000E43BB" w:rsidRPr="00774B55">
              <w:rPr>
                <w:rStyle w:val="Hyperlink"/>
                <w:rFonts w:eastAsiaTheme="majorEastAsia"/>
                <w:noProof/>
              </w:rPr>
              <w:t>Chapter One</w:t>
            </w:r>
            <w:r w:rsidR="000E43BB">
              <w:rPr>
                <w:noProof/>
                <w:webHidden/>
              </w:rPr>
              <w:tab/>
            </w:r>
            <w:r w:rsidR="000E43BB">
              <w:rPr>
                <w:noProof/>
                <w:webHidden/>
              </w:rPr>
              <w:fldChar w:fldCharType="begin"/>
            </w:r>
            <w:r w:rsidR="000E43BB">
              <w:rPr>
                <w:noProof/>
                <w:webHidden/>
              </w:rPr>
              <w:instrText xml:space="preserve"> PAGEREF _Toc59172900 \h </w:instrText>
            </w:r>
            <w:r w:rsidR="000E43BB">
              <w:rPr>
                <w:noProof/>
                <w:webHidden/>
              </w:rPr>
            </w:r>
            <w:r w:rsidR="000E43BB">
              <w:rPr>
                <w:noProof/>
                <w:webHidden/>
              </w:rPr>
              <w:fldChar w:fldCharType="separate"/>
            </w:r>
            <w:r w:rsidR="000E43BB">
              <w:rPr>
                <w:noProof/>
                <w:webHidden/>
              </w:rPr>
              <w:t>1</w:t>
            </w:r>
            <w:r w:rsidR="000E43BB">
              <w:rPr>
                <w:noProof/>
                <w:webHidden/>
              </w:rPr>
              <w:fldChar w:fldCharType="end"/>
            </w:r>
          </w:hyperlink>
        </w:p>
        <w:p w14:paraId="3EDD7EE7" w14:textId="0567F7DA"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01" w:history="1">
            <w:r w:rsidRPr="00774B55">
              <w:rPr>
                <w:rStyle w:val="Hyperlink"/>
                <w:rFonts w:eastAsiaTheme="majorEastAsia"/>
                <w:noProof/>
                <w:lang w:val="en-US"/>
              </w:rPr>
              <w:t>1.1</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_Toc59172901 \h </w:instrText>
            </w:r>
            <w:r>
              <w:rPr>
                <w:noProof/>
                <w:webHidden/>
              </w:rPr>
            </w:r>
            <w:r>
              <w:rPr>
                <w:noProof/>
                <w:webHidden/>
              </w:rPr>
              <w:fldChar w:fldCharType="separate"/>
            </w:r>
            <w:r>
              <w:rPr>
                <w:noProof/>
                <w:webHidden/>
              </w:rPr>
              <w:t>2</w:t>
            </w:r>
            <w:r>
              <w:rPr>
                <w:noProof/>
                <w:webHidden/>
              </w:rPr>
              <w:fldChar w:fldCharType="end"/>
            </w:r>
          </w:hyperlink>
        </w:p>
        <w:p w14:paraId="525A4B3E" w14:textId="37992863"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02" w:history="1">
            <w:r w:rsidRPr="00774B55">
              <w:rPr>
                <w:rStyle w:val="Hyperlink"/>
                <w:rFonts w:eastAsiaTheme="majorEastAsia"/>
                <w:noProof/>
                <w:lang w:val="en-US"/>
              </w:rPr>
              <w:t>1.2</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Research Problem</w:t>
            </w:r>
            <w:r>
              <w:rPr>
                <w:noProof/>
                <w:webHidden/>
              </w:rPr>
              <w:tab/>
            </w:r>
            <w:r>
              <w:rPr>
                <w:noProof/>
                <w:webHidden/>
              </w:rPr>
              <w:fldChar w:fldCharType="begin"/>
            </w:r>
            <w:r>
              <w:rPr>
                <w:noProof/>
                <w:webHidden/>
              </w:rPr>
              <w:instrText xml:space="preserve"> PAGEREF _Toc59172902 \h </w:instrText>
            </w:r>
            <w:r>
              <w:rPr>
                <w:noProof/>
                <w:webHidden/>
              </w:rPr>
            </w:r>
            <w:r>
              <w:rPr>
                <w:noProof/>
                <w:webHidden/>
              </w:rPr>
              <w:fldChar w:fldCharType="separate"/>
            </w:r>
            <w:r>
              <w:rPr>
                <w:noProof/>
                <w:webHidden/>
              </w:rPr>
              <w:t>2</w:t>
            </w:r>
            <w:r>
              <w:rPr>
                <w:noProof/>
                <w:webHidden/>
              </w:rPr>
              <w:fldChar w:fldCharType="end"/>
            </w:r>
          </w:hyperlink>
        </w:p>
        <w:p w14:paraId="6D0575DE" w14:textId="7E1B9ABD"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03" w:history="1">
            <w:r w:rsidRPr="00774B55">
              <w:rPr>
                <w:rStyle w:val="Hyperlink"/>
                <w:rFonts w:eastAsiaTheme="majorEastAsia"/>
                <w:noProof/>
                <w:lang w:val="en-US"/>
              </w:rPr>
              <w:t>1.3</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Research Questions</w:t>
            </w:r>
            <w:r>
              <w:rPr>
                <w:noProof/>
                <w:webHidden/>
              </w:rPr>
              <w:tab/>
            </w:r>
            <w:r>
              <w:rPr>
                <w:noProof/>
                <w:webHidden/>
              </w:rPr>
              <w:fldChar w:fldCharType="begin"/>
            </w:r>
            <w:r>
              <w:rPr>
                <w:noProof/>
                <w:webHidden/>
              </w:rPr>
              <w:instrText xml:space="preserve"> PAGEREF _Toc59172903 \h </w:instrText>
            </w:r>
            <w:r>
              <w:rPr>
                <w:noProof/>
                <w:webHidden/>
              </w:rPr>
            </w:r>
            <w:r>
              <w:rPr>
                <w:noProof/>
                <w:webHidden/>
              </w:rPr>
              <w:fldChar w:fldCharType="separate"/>
            </w:r>
            <w:r>
              <w:rPr>
                <w:noProof/>
                <w:webHidden/>
              </w:rPr>
              <w:t>2</w:t>
            </w:r>
            <w:r>
              <w:rPr>
                <w:noProof/>
                <w:webHidden/>
              </w:rPr>
              <w:fldChar w:fldCharType="end"/>
            </w:r>
          </w:hyperlink>
        </w:p>
        <w:p w14:paraId="0587B884" w14:textId="6B1E8035"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04" w:history="1">
            <w:r w:rsidRPr="00774B55">
              <w:rPr>
                <w:rStyle w:val="Hyperlink"/>
                <w:rFonts w:eastAsiaTheme="majorEastAsia"/>
                <w:noProof/>
                <w:lang w:val="en-US"/>
              </w:rPr>
              <w:t>1.4</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Research Objectives</w:t>
            </w:r>
            <w:r>
              <w:rPr>
                <w:noProof/>
                <w:webHidden/>
              </w:rPr>
              <w:tab/>
            </w:r>
            <w:r>
              <w:rPr>
                <w:noProof/>
                <w:webHidden/>
              </w:rPr>
              <w:fldChar w:fldCharType="begin"/>
            </w:r>
            <w:r>
              <w:rPr>
                <w:noProof/>
                <w:webHidden/>
              </w:rPr>
              <w:instrText xml:space="preserve"> PAGEREF _Toc59172904 \h </w:instrText>
            </w:r>
            <w:r>
              <w:rPr>
                <w:noProof/>
                <w:webHidden/>
              </w:rPr>
            </w:r>
            <w:r>
              <w:rPr>
                <w:noProof/>
                <w:webHidden/>
              </w:rPr>
              <w:fldChar w:fldCharType="separate"/>
            </w:r>
            <w:r>
              <w:rPr>
                <w:noProof/>
                <w:webHidden/>
              </w:rPr>
              <w:t>2</w:t>
            </w:r>
            <w:r>
              <w:rPr>
                <w:noProof/>
                <w:webHidden/>
              </w:rPr>
              <w:fldChar w:fldCharType="end"/>
            </w:r>
          </w:hyperlink>
        </w:p>
        <w:p w14:paraId="42BE64F6" w14:textId="328A181B"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05" w:history="1">
            <w:r w:rsidRPr="00774B55">
              <w:rPr>
                <w:rStyle w:val="Hyperlink"/>
                <w:rFonts w:eastAsiaTheme="majorEastAsia"/>
                <w:noProof/>
                <w:lang w:val="en-US"/>
              </w:rPr>
              <w:t>1.5</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Research Significance</w:t>
            </w:r>
            <w:r>
              <w:rPr>
                <w:noProof/>
                <w:webHidden/>
              </w:rPr>
              <w:tab/>
            </w:r>
            <w:r>
              <w:rPr>
                <w:noProof/>
                <w:webHidden/>
              </w:rPr>
              <w:fldChar w:fldCharType="begin"/>
            </w:r>
            <w:r>
              <w:rPr>
                <w:noProof/>
                <w:webHidden/>
              </w:rPr>
              <w:instrText xml:space="preserve"> PAGEREF _Toc59172905 \h </w:instrText>
            </w:r>
            <w:r>
              <w:rPr>
                <w:noProof/>
                <w:webHidden/>
              </w:rPr>
            </w:r>
            <w:r>
              <w:rPr>
                <w:noProof/>
                <w:webHidden/>
              </w:rPr>
              <w:fldChar w:fldCharType="separate"/>
            </w:r>
            <w:r>
              <w:rPr>
                <w:noProof/>
                <w:webHidden/>
              </w:rPr>
              <w:t>2</w:t>
            </w:r>
            <w:r>
              <w:rPr>
                <w:noProof/>
                <w:webHidden/>
              </w:rPr>
              <w:fldChar w:fldCharType="end"/>
            </w:r>
          </w:hyperlink>
        </w:p>
        <w:p w14:paraId="1D34165F" w14:textId="36E50F35"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06" w:history="1">
            <w:r w:rsidRPr="00774B55">
              <w:rPr>
                <w:rStyle w:val="Hyperlink"/>
                <w:rFonts w:eastAsiaTheme="majorEastAsia"/>
                <w:noProof/>
                <w:lang w:val="en-US"/>
              </w:rPr>
              <w:t>1.6</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Research Setting</w:t>
            </w:r>
            <w:r>
              <w:rPr>
                <w:noProof/>
                <w:webHidden/>
              </w:rPr>
              <w:tab/>
            </w:r>
            <w:r>
              <w:rPr>
                <w:noProof/>
                <w:webHidden/>
              </w:rPr>
              <w:fldChar w:fldCharType="begin"/>
            </w:r>
            <w:r>
              <w:rPr>
                <w:noProof/>
                <w:webHidden/>
              </w:rPr>
              <w:instrText xml:space="preserve"> PAGEREF _Toc59172906 \h </w:instrText>
            </w:r>
            <w:r>
              <w:rPr>
                <w:noProof/>
                <w:webHidden/>
              </w:rPr>
            </w:r>
            <w:r>
              <w:rPr>
                <w:noProof/>
                <w:webHidden/>
              </w:rPr>
              <w:fldChar w:fldCharType="separate"/>
            </w:r>
            <w:r>
              <w:rPr>
                <w:noProof/>
                <w:webHidden/>
              </w:rPr>
              <w:t>2</w:t>
            </w:r>
            <w:r>
              <w:rPr>
                <w:noProof/>
                <w:webHidden/>
              </w:rPr>
              <w:fldChar w:fldCharType="end"/>
            </w:r>
          </w:hyperlink>
        </w:p>
        <w:p w14:paraId="724B0EA7" w14:textId="0B0835EB"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07" w:history="1">
            <w:r w:rsidRPr="00774B55">
              <w:rPr>
                <w:rStyle w:val="Hyperlink"/>
                <w:rFonts w:eastAsiaTheme="majorEastAsia"/>
                <w:noProof/>
                <w:lang w:val="en-US"/>
              </w:rPr>
              <w:t>1.7</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Definition of Terms</w:t>
            </w:r>
            <w:r>
              <w:rPr>
                <w:noProof/>
                <w:webHidden/>
              </w:rPr>
              <w:tab/>
            </w:r>
            <w:r>
              <w:rPr>
                <w:noProof/>
                <w:webHidden/>
              </w:rPr>
              <w:fldChar w:fldCharType="begin"/>
            </w:r>
            <w:r>
              <w:rPr>
                <w:noProof/>
                <w:webHidden/>
              </w:rPr>
              <w:instrText xml:space="preserve"> PAGEREF _Toc59172907 \h </w:instrText>
            </w:r>
            <w:r>
              <w:rPr>
                <w:noProof/>
                <w:webHidden/>
              </w:rPr>
            </w:r>
            <w:r>
              <w:rPr>
                <w:noProof/>
                <w:webHidden/>
              </w:rPr>
              <w:fldChar w:fldCharType="separate"/>
            </w:r>
            <w:r>
              <w:rPr>
                <w:noProof/>
                <w:webHidden/>
              </w:rPr>
              <w:t>2</w:t>
            </w:r>
            <w:r>
              <w:rPr>
                <w:noProof/>
                <w:webHidden/>
              </w:rPr>
              <w:fldChar w:fldCharType="end"/>
            </w:r>
          </w:hyperlink>
        </w:p>
        <w:p w14:paraId="447E1C32" w14:textId="7382F7B2" w:rsidR="000E43BB" w:rsidRDefault="000E43BB">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72908" w:history="1">
            <w:r w:rsidRPr="00774B55">
              <w:rPr>
                <w:rStyle w:val="Hyperlink"/>
                <w:rFonts w:eastAsiaTheme="majorEastAsia"/>
                <w:noProof/>
              </w:rPr>
              <w:t>2</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rPr>
              <w:t>Chapter Two</w:t>
            </w:r>
            <w:r>
              <w:rPr>
                <w:noProof/>
                <w:webHidden/>
              </w:rPr>
              <w:tab/>
            </w:r>
            <w:r>
              <w:rPr>
                <w:noProof/>
                <w:webHidden/>
              </w:rPr>
              <w:fldChar w:fldCharType="begin"/>
            </w:r>
            <w:r>
              <w:rPr>
                <w:noProof/>
                <w:webHidden/>
              </w:rPr>
              <w:instrText xml:space="preserve"> PAGEREF _Toc59172908 \h </w:instrText>
            </w:r>
            <w:r>
              <w:rPr>
                <w:noProof/>
                <w:webHidden/>
              </w:rPr>
            </w:r>
            <w:r>
              <w:rPr>
                <w:noProof/>
                <w:webHidden/>
              </w:rPr>
              <w:fldChar w:fldCharType="separate"/>
            </w:r>
            <w:r>
              <w:rPr>
                <w:noProof/>
                <w:webHidden/>
              </w:rPr>
              <w:t>3</w:t>
            </w:r>
            <w:r>
              <w:rPr>
                <w:noProof/>
                <w:webHidden/>
              </w:rPr>
              <w:fldChar w:fldCharType="end"/>
            </w:r>
          </w:hyperlink>
        </w:p>
        <w:p w14:paraId="350C8A00" w14:textId="0502995B"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09" w:history="1">
            <w:r w:rsidRPr="00774B55">
              <w:rPr>
                <w:rStyle w:val="Hyperlink"/>
                <w:rFonts w:eastAsiaTheme="majorEastAsia"/>
                <w:noProof/>
                <w:lang w:val="en-US"/>
              </w:rPr>
              <w:t>2.1</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_Toc59172909 \h </w:instrText>
            </w:r>
            <w:r>
              <w:rPr>
                <w:noProof/>
                <w:webHidden/>
              </w:rPr>
            </w:r>
            <w:r>
              <w:rPr>
                <w:noProof/>
                <w:webHidden/>
              </w:rPr>
              <w:fldChar w:fldCharType="separate"/>
            </w:r>
            <w:r>
              <w:rPr>
                <w:noProof/>
                <w:webHidden/>
              </w:rPr>
              <w:t>4</w:t>
            </w:r>
            <w:r>
              <w:rPr>
                <w:noProof/>
                <w:webHidden/>
              </w:rPr>
              <w:fldChar w:fldCharType="end"/>
            </w:r>
          </w:hyperlink>
        </w:p>
        <w:p w14:paraId="3D16E1B1" w14:textId="67DDD971"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10" w:history="1">
            <w:r w:rsidRPr="00774B55">
              <w:rPr>
                <w:rStyle w:val="Hyperlink"/>
                <w:rFonts w:eastAsiaTheme="majorEastAsia"/>
                <w:noProof/>
                <w:lang w:val="en-US"/>
              </w:rPr>
              <w:t>2.2</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Theoretical Framework</w:t>
            </w:r>
            <w:r>
              <w:rPr>
                <w:noProof/>
                <w:webHidden/>
              </w:rPr>
              <w:tab/>
            </w:r>
            <w:r>
              <w:rPr>
                <w:noProof/>
                <w:webHidden/>
              </w:rPr>
              <w:fldChar w:fldCharType="begin"/>
            </w:r>
            <w:r>
              <w:rPr>
                <w:noProof/>
                <w:webHidden/>
              </w:rPr>
              <w:instrText xml:space="preserve"> PAGEREF _Toc59172910 \h </w:instrText>
            </w:r>
            <w:r>
              <w:rPr>
                <w:noProof/>
                <w:webHidden/>
              </w:rPr>
            </w:r>
            <w:r>
              <w:rPr>
                <w:noProof/>
                <w:webHidden/>
              </w:rPr>
              <w:fldChar w:fldCharType="separate"/>
            </w:r>
            <w:r>
              <w:rPr>
                <w:noProof/>
                <w:webHidden/>
              </w:rPr>
              <w:t>4</w:t>
            </w:r>
            <w:r>
              <w:rPr>
                <w:noProof/>
                <w:webHidden/>
              </w:rPr>
              <w:fldChar w:fldCharType="end"/>
            </w:r>
          </w:hyperlink>
        </w:p>
        <w:p w14:paraId="31DD05EA" w14:textId="0C268E1D"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11" w:history="1">
            <w:r w:rsidRPr="00774B55">
              <w:rPr>
                <w:rStyle w:val="Hyperlink"/>
                <w:rFonts w:eastAsiaTheme="majorEastAsia"/>
                <w:noProof/>
                <w:lang w:val="en-US"/>
              </w:rPr>
              <w:t>2.3</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Research Hypothesis</w:t>
            </w:r>
            <w:r>
              <w:rPr>
                <w:noProof/>
                <w:webHidden/>
              </w:rPr>
              <w:tab/>
            </w:r>
            <w:r>
              <w:rPr>
                <w:noProof/>
                <w:webHidden/>
              </w:rPr>
              <w:fldChar w:fldCharType="begin"/>
            </w:r>
            <w:r>
              <w:rPr>
                <w:noProof/>
                <w:webHidden/>
              </w:rPr>
              <w:instrText xml:space="preserve"> PAGEREF _Toc59172911 \h </w:instrText>
            </w:r>
            <w:r>
              <w:rPr>
                <w:noProof/>
                <w:webHidden/>
              </w:rPr>
            </w:r>
            <w:r>
              <w:rPr>
                <w:noProof/>
                <w:webHidden/>
              </w:rPr>
              <w:fldChar w:fldCharType="separate"/>
            </w:r>
            <w:r>
              <w:rPr>
                <w:noProof/>
                <w:webHidden/>
              </w:rPr>
              <w:t>4</w:t>
            </w:r>
            <w:r>
              <w:rPr>
                <w:noProof/>
                <w:webHidden/>
              </w:rPr>
              <w:fldChar w:fldCharType="end"/>
            </w:r>
          </w:hyperlink>
        </w:p>
        <w:p w14:paraId="0738A7D8" w14:textId="3B8D12C5" w:rsidR="000E43BB" w:rsidRDefault="000E43BB">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72912" w:history="1">
            <w:r w:rsidRPr="00774B55">
              <w:rPr>
                <w:rStyle w:val="Hyperlink"/>
                <w:rFonts w:eastAsiaTheme="majorEastAsia"/>
                <w:noProof/>
              </w:rPr>
              <w:t>3</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rPr>
              <w:t>Chapter Three</w:t>
            </w:r>
            <w:r>
              <w:rPr>
                <w:noProof/>
                <w:webHidden/>
              </w:rPr>
              <w:tab/>
            </w:r>
            <w:r>
              <w:rPr>
                <w:noProof/>
                <w:webHidden/>
              </w:rPr>
              <w:fldChar w:fldCharType="begin"/>
            </w:r>
            <w:r>
              <w:rPr>
                <w:noProof/>
                <w:webHidden/>
              </w:rPr>
              <w:instrText xml:space="preserve"> PAGEREF _Toc59172912 \h </w:instrText>
            </w:r>
            <w:r>
              <w:rPr>
                <w:noProof/>
                <w:webHidden/>
              </w:rPr>
            </w:r>
            <w:r>
              <w:rPr>
                <w:noProof/>
                <w:webHidden/>
              </w:rPr>
              <w:fldChar w:fldCharType="separate"/>
            </w:r>
            <w:r>
              <w:rPr>
                <w:noProof/>
                <w:webHidden/>
              </w:rPr>
              <w:t>5</w:t>
            </w:r>
            <w:r>
              <w:rPr>
                <w:noProof/>
                <w:webHidden/>
              </w:rPr>
              <w:fldChar w:fldCharType="end"/>
            </w:r>
          </w:hyperlink>
        </w:p>
        <w:p w14:paraId="238BC809" w14:textId="10FC7FC3"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13" w:history="1">
            <w:r w:rsidRPr="00774B55">
              <w:rPr>
                <w:rStyle w:val="Hyperlink"/>
                <w:rFonts w:eastAsiaTheme="majorEastAsia"/>
                <w:noProof/>
                <w:lang w:val="en-US"/>
              </w:rPr>
              <w:t>3.1</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Methodology</w:t>
            </w:r>
            <w:r>
              <w:rPr>
                <w:noProof/>
                <w:webHidden/>
              </w:rPr>
              <w:tab/>
            </w:r>
            <w:r>
              <w:rPr>
                <w:noProof/>
                <w:webHidden/>
              </w:rPr>
              <w:fldChar w:fldCharType="begin"/>
            </w:r>
            <w:r>
              <w:rPr>
                <w:noProof/>
                <w:webHidden/>
              </w:rPr>
              <w:instrText xml:space="preserve"> PAGEREF _Toc59172913 \h </w:instrText>
            </w:r>
            <w:r>
              <w:rPr>
                <w:noProof/>
                <w:webHidden/>
              </w:rPr>
            </w:r>
            <w:r>
              <w:rPr>
                <w:noProof/>
                <w:webHidden/>
              </w:rPr>
              <w:fldChar w:fldCharType="separate"/>
            </w:r>
            <w:r>
              <w:rPr>
                <w:noProof/>
                <w:webHidden/>
              </w:rPr>
              <w:t>6</w:t>
            </w:r>
            <w:r>
              <w:rPr>
                <w:noProof/>
                <w:webHidden/>
              </w:rPr>
              <w:fldChar w:fldCharType="end"/>
            </w:r>
          </w:hyperlink>
        </w:p>
        <w:p w14:paraId="4485CE72" w14:textId="3B940E15"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14" w:history="1">
            <w:r w:rsidRPr="00774B55">
              <w:rPr>
                <w:rStyle w:val="Hyperlink"/>
                <w:rFonts w:eastAsiaTheme="majorEastAsia"/>
                <w:noProof/>
                <w:lang w:val="en-US"/>
              </w:rPr>
              <w:t>3.2</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Population</w:t>
            </w:r>
            <w:r>
              <w:rPr>
                <w:noProof/>
                <w:webHidden/>
              </w:rPr>
              <w:tab/>
            </w:r>
            <w:r>
              <w:rPr>
                <w:noProof/>
                <w:webHidden/>
              </w:rPr>
              <w:fldChar w:fldCharType="begin"/>
            </w:r>
            <w:r>
              <w:rPr>
                <w:noProof/>
                <w:webHidden/>
              </w:rPr>
              <w:instrText xml:space="preserve"> PAGEREF _Toc59172914 \h </w:instrText>
            </w:r>
            <w:r>
              <w:rPr>
                <w:noProof/>
                <w:webHidden/>
              </w:rPr>
            </w:r>
            <w:r>
              <w:rPr>
                <w:noProof/>
                <w:webHidden/>
              </w:rPr>
              <w:fldChar w:fldCharType="separate"/>
            </w:r>
            <w:r>
              <w:rPr>
                <w:noProof/>
                <w:webHidden/>
              </w:rPr>
              <w:t>8</w:t>
            </w:r>
            <w:r>
              <w:rPr>
                <w:noProof/>
                <w:webHidden/>
              </w:rPr>
              <w:fldChar w:fldCharType="end"/>
            </w:r>
          </w:hyperlink>
        </w:p>
        <w:p w14:paraId="5C4DC8B3" w14:textId="0FC57E26"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15" w:history="1">
            <w:r w:rsidRPr="00774B55">
              <w:rPr>
                <w:rStyle w:val="Hyperlink"/>
                <w:rFonts w:eastAsiaTheme="majorEastAsia"/>
                <w:noProof/>
                <w:lang w:val="en-US"/>
              </w:rPr>
              <w:t>3.3</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Research Study Tools</w:t>
            </w:r>
            <w:r>
              <w:rPr>
                <w:noProof/>
                <w:webHidden/>
              </w:rPr>
              <w:tab/>
            </w:r>
            <w:r>
              <w:rPr>
                <w:noProof/>
                <w:webHidden/>
              </w:rPr>
              <w:fldChar w:fldCharType="begin"/>
            </w:r>
            <w:r>
              <w:rPr>
                <w:noProof/>
                <w:webHidden/>
              </w:rPr>
              <w:instrText xml:space="preserve"> PAGEREF _Toc59172915 \h </w:instrText>
            </w:r>
            <w:r>
              <w:rPr>
                <w:noProof/>
                <w:webHidden/>
              </w:rPr>
            </w:r>
            <w:r>
              <w:rPr>
                <w:noProof/>
                <w:webHidden/>
              </w:rPr>
              <w:fldChar w:fldCharType="separate"/>
            </w:r>
            <w:r>
              <w:rPr>
                <w:noProof/>
                <w:webHidden/>
              </w:rPr>
              <w:t>8</w:t>
            </w:r>
            <w:r>
              <w:rPr>
                <w:noProof/>
                <w:webHidden/>
              </w:rPr>
              <w:fldChar w:fldCharType="end"/>
            </w:r>
          </w:hyperlink>
        </w:p>
        <w:p w14:paraId="2F195A56" w14:textId="138ACD57" w:rsidR="000E43BB" w:rsidRDefault="000E43BB">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72916" w:history="1">
            <w:r w:rsidRPr="00774B55">
              <w:rPr>
                <w:rStyle w:val="Hyperlink"/>
                <w:rFonts w:eastAsiaTheme="majorEastAsia"/>
                <w:noProof/>
                <w:lang w:val="en-US"/>
              </w:rPr>
              <w:t>3.3.1</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Data and Variable Extraction</w:t>
            </w:r>
            <w:r>
              <w:rPr>
                <w:noProof/>
                <w:webHidden/>
              </w:rPr>
              <w:tab/>
            </w:r>
            <w:r>
              <w:rPr>
                <w:noProof/>
                <w:webHidden/>
              </w:rPr>
              <w:fldChar w:fldCharType="begin"/>
            </w:r>
            <w:r>
              <w:rPr>
                <w:noProof/>
                <w:webHidden/>
              </w:rPr>
              <w:instrText xml:space="preserve"> PAGEREF _Toc59172916 \h </w:instrText>
            </w:r>
            <w:r>
              <w:rPr>
                <w:noProof/>
                <w:webHidden/>
              </w:rPr>
            </w:r>
            <w:r>
              <w:rPr>
                <w:noProof/>
                <w:webHidden/>
              </w:rPr>
              <w:fldChar w:fldCharType="separate"/>
            </w:r>
            <w:r>
              <w:rPr>
                <w:noProof/>
                <w:webHidden/>
              </w:rPr>
              <w:t>8</w:t>
            </w:r>
            <w:r>
              <w:rPr>
                <w:noProof/>
                <w:webHidden/>
              </w:rPr>
              <w:fldChar w:fldCharType="end"/>
            </w:r>
          </w:hyperlink>
        </w:p>
        <w:p w14:paraId="7AAB70E0" w14:textId="4C2B399C" w:rsidR="000E43BB" w:rsidRDefault="000E43BB">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72917" w:history="1">
            <w:r w:rsidRPr="00774B55">
              <w:rPr>
                <w:rStyle w:val="Hyperlink"/>
                <w:rFonts w:eastAsiaTheme="majorEastAsia"/>
                <w:noProof/>
                <w:lang w:val="en-US"/>
              </w:rPr>
              <w:t>3.3.2</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Other Study Tools</w:t>
            </w:r>
            <w:r>
              <w:rPr>
                <w:noProof/>
                <w:webHidden/>
              </w:rPr>
              <w:tab/>
            </w:r>
            <w:r>
              <w:rPr>
                <w:noProof/>
                <w:webHidden/>
              </w:rPr>
              <w:fldChar w:fldCharType="begin"/>
            </w:r>
            <w:r>
              <w:rPr>
                <w:noProof/>
                <w:webHidden/>
              </w:rPr>
              <w:instrText xml:space="preserve"> PAGEREF _Toc59172917 \h </w:instrText>
            </w:r>
            <w:r>
              <w:rPr>
                <w:noProof/>
                <w:webHidden/>
              </w:rPr>
            </w:r>
            <w:r>
              <w:rPr>
                <w:noProof/>
                <w:webHidden/>
              </w:rPr>
              <w:fldChar w:fldCharType="separate"/>
            </w:r>
            <w:r>
              <w:rPr>
                <w:noProof/>
                <w:webHidden/>
              </w:rPr>
              <w:t>9</w:t>
            </w:r>
            <w:r>
              <w:rPr>
                <w:noProof/>
                <w:webHidden/>
              </w:rPr>
              <w:fldChar w:fldCharType="end"/>
            </w:r>
          </w:hyperlink>
        </w:p>
        <w:p w14:paraId="1E164733" w14:textId="5D39F813"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18" w:history="1">
            <w:r w:rsidRPr="00774B55">
              <w:rPr>
                <w:rStyle w:val="Hyperlink"/>
                <w:rFonts w:eastAsiaTheme="majorEastAsia"/>
                <w:noProof/>
                <w:lang w:val="en-US"/>
              </w:rPr>
              <w:t>3.4</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Data Collection and Procedures</w:t>
            </w:r>
            <w:r>
              <w:rPr>
                <w:noProof/>
                <w:webHidden/>
              </w:rPr>
              <w:tab/>
            </w:r>
            <w:r>
              <w:rPr>
                <w:noProof/>
                <w:webHidden/>
              </w:rPr>
              <w:fldChar w:fldCharType="begin"/>
            </w:r>
            <w:r>
              <w:rPr>
                <w:noProof/>
                <w:webHidden/>
              </w:rPr>
              <w:instrText xml:space="preserve"> PAGEREF _Toc59172918 \h </w:instrText>
            </w:r>
            <w:r>
              <w:rPr>
                <w:noProof/>
                <w:webHidden/>
              </w:rPr>
            </w:r>
            <w:r>
              <w:rPr>
                <w:noProof/>
                <w:webHidden/>
              </w:rPr>
              <w:fldChar w:fldCharType="separate"/>
            </w:r>
            <w:r>
              <w:rPr>
                <w:noProof/>
                <w:webHidden/>
              </w:rPr>
              <w:t>9</w:t>
            </w:r>
            <w:r>
              <w:rPr>
                <w:noProof/>
                <w:webHidden/>
              </w:rPr>
              <w:fldChar w:fldCharType="end"/>
            </w:r>
          </w:hyperlink>
        </w:p>
        <w:p w14:paraId="57B632E3" w14:textId="7F1F023E"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19" w:history="1">
            <w:r w:rsidRPr="00774B55">
              <w:rPr>
                <w:rStyle w:val="Hyperlink"/>
                <w:rFonts w:eastAsiaTheme="majorEastAsia"/>
                <w:noProof/>
                <w:lang w:val="en-US"/>
              </w:rPr>
              <w:t>3.5</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Statistical Analysis Approach</w:t>
            </w:r>
            <w:r>
              <w:rPr>
                <w:noProof/>
                <w:webHidden/>
              </w:rPr>
              <w:tab/>
            </w:r>
            <w:r>
              <w:rPr>
                <w:noProof/>
                <w:webHidden/>
              </w:rPr>
              <w:fldChar w:fldCharType="begin"/>
            </w:r>
            <w:r>
              <w:rPr>
                <w:noProof/>
                <w:webHidden/>
              </w:rPr>
              <w:instrText xml:space="preserve"> PAGEREF _Toc59172919 \h </w:instrText>
            </w:r>
            <w:r>
              <w:rPr>
                <w:noProof/>
                <w:webHidden/>
              </w:rPr>
            </w:r>
            <w:r>
              <w:rPr>
                <w:noProof/>
                <w:webHidden/>
              </w:rPr>
              <w:fldChar w:fldCharType="separate"/>
            </w:r>
            <w:r>
              <w:rPr>
                <w:noProof/>
                <w:webHidden/>
              </w:rPr>
              <w:t>10</w:t>
            </w:r>
            <w:r>
              <w:rPr>
                <w:noProof/>
                <w:webHidden/>
              </w:rPr>
              <w:fldChar w:fldCharType="end"/>
            </w:r>
          </w:hyperlink>
        </w:p>
        <w:p w14:paraId="03CB139F" w14:textId="563232B3" w:rsidR="000E43BB" w:rsidRDefault="000E43BB">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72920" w:history="1">
            <w:r w:rsidRPr="00774B55">
              <w:rPr>
                <w:rStyle w:val="Hyperlink"/>
                <w:rFonts w:eastAsiaTheme="majorEastAsia"/>
                <w:noProof/>
                <w:lang w:val="en-US"/>
              </w:rPr>
              <w:t>3.5.1</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COVID-19 Prediction Model</w:t>
            </w:r>
            <w:r>
              <w:rPr>
                <w:noProof/>
                <w:webHidden/>
              </w:rPr>
              <w:tab/>
            </w:r>
            <w:r>
              <w:rPr>
                <w:noProof/>
                <w:webHidden/>
              </w:rPr>
              <w:fldChar w:fldCharType="begin"/>
            </w:r>
            <w:r>
              <w:rPr>
                <w:noProof/>
                <w:webHidden/>
              </w:rPr>
              <w:instrText xml:space="preserve"> PAGEREF _Toc59172920 \h </w:instrText>
            </w:r>
            <w:r>
              <w:rPr>
                <w:noProof/>
                <w:webHidden/>
              </w:rPr>
            </w:r>
            <w:r>
              <w:rPr>
                <w:noProof/>
                <w:webHidden/>
              </w:rPr>
              <w:fldChar w:fldCharType="separate"/>
            </w:r>
            <w:r>
              <w:rPr>
                <w:noProof/>
                <w:webHidden/>
              </w:rPr>
              <w:t>10</w:t>
            </w:r>
            <w:r>
              <w:rPr>
                <w:noProof/>
                <w:webHidden/>
              </w:rPr>
              <w:fldChar w:fldCharType="end"/>
            </w:r>
          </w:hyperlink>
        </w:p>
        <w:p w14:paraId="20BC767B" w14:textId="15E02C59" w:rsidR="000E43BB" w:rsidRDefault="000E43BB">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72921" w:history="1">
            <w:r w:rsidRPr="00774B55">
              <w:rPr>
                <w:rStyle w:val="Hyperlink"/>
                <w:rFonts w:eastAsiaTheme="majorEastAsia"/>
                <w:noProof/>
                <w:lang w:val="en-US"/>
              </w:rPr>
              <w:t>3.5.2</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Statistical Calculation of Study Factors</w:t>
            </w:r>
            <w:r>
              <w:rPr>
                <w:noProof/>
                <w:webHidden/>
              </w:rPr>
              <w:tab/>
            </w:r>
            <w:r>
              <w:rPr>
                <w:noProof/>
                <w:webHidden/>
              </w:rPr>
              <w:fldChar w:fldCharType="begin"/>
            </w:r>
            <w:r>
              <w:rPr>
                <w:noProof/>
                <w:webHidden/>
              </w:rPr>
              <w:instrText xml:space="preserve"> PAGEREF _Toc59172921 \h </w:instrText>
            </w:r>
            <w:r>
              <w:rPr>
                <w:noProof/>
                <w:webHidden/>
              </w:rPr>
            </w:r>
            <w:r>
              <w:rPr>
                <w:noProof/>
                <w:webHidden/>
              </w:rPr>
              <w:fldChar w:fldCharType="separate"/>
            </w:r>
            <w:r>
              <w:rPr>
                <w:noProof/>
                <w:webHidden/>
              </w:rPr>
              <w:t>11</w:t>
            </w:r>
            <w:r>
              <w:rPr>
                <w:noProof/>
                <w:webHidden/>
              </w:rPr>
              <w:fldChar w:fldCharType="end"/>
            </w:r>
          </w:hyperlink>
        </w:p>
        <w:p w14:paraId="791A1D9A" w14:textId="0CE54AB8" w:rsidR="000E43BB" w:rsidRDefault="000E43BB">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72922" w:history="1">
            <w:r w:rsidRPr="00774B55">
              <w:rPr>
                <w:rStyle w:val="Hyperlink"/>
                <w:rFonts w:eastAsiaTheme="majorEastAsia"/>
                <w:noProof/>
              </w:rPr>
              <w:t>4</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rPr>
              <w:t>Chapter Four</w:t>
            </w:r>
            <w:r>
              <w:rPr>
                <w:noProof/>
                <w:webHidden/>
              </w:rPr>
              <w:tab/>
            </w:r>
            <w:r>
              <w:rPr>
                <w:noProof/>
                <w:webHidden/>
              </w:rPr>
              <w:fldChar w:fldCharType="begin"/>
            </w:r>
            <w:r>
              <w:rPr>
                <w:noProof/>
                <w:webHidden/>
              </w:rPr>
              <w:instrText xml:space="preserve"> PAGEREF _Toc59172922 \h </w:instrText>
            </w:r>
            <w:r>
              <w:rPr>
                <w:noProof/>
                <w:webHidden/>
              </w:rPr>
            </w:r>
            <w:r>
              <w:rPr>
                <w:noProof/>
                <w:webHidden/>
              </w:rPr>
              <w:fldChar w:fldCharType="separate"/>
            </w:r>
            <w:r>
              <w:rPr>
                <w:noProof/>
                <w:webHidden/>
              </w:rPr>
              <w:t>15</w:t>
            </w:r>
            <w:r>
              <w:rPr>
                <w:noProof/>
                <w:webHidden/>
              </w:rPr>
              <w:fldChar w:fldCharType="end"/>
            </w:r>
          </w:hyperlink>
        </w:p>
        <w:p w14:paraId="79EEA3BD" w14:textId="68D0E1A6"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23" w:history="1">
            <w:r w:rsidRPr="00774B55">
              <w:rPr>
                <w:rStyle w:val="Hyperlink"/>
                <w:rFonts w:eastAsiaTheme="majorEastAsia"/>
                <w:noProof/>
                <w:lang w:val="en-US"/>
              </w:rPr>
              <w:t>4.1</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_Toc59172923 \h </w:instrText>
            </w:r>
            <w:r>
              <w:rPr>
                <w:noProof/>
                <w:webHidden/>
              </w:rPr>
            </w:r>
            <w:r>
              <w:rPr>
                <w:noProof/>
                <w:webHidden/>
              </w:rPr>
              <w:fldChar w:fldCharType="separate"/>
            </w:r>
            <w:r>
              <w:rPr>
                <w:noProof/>
                <w:webHidden/>
              </w:rPr>
              <w:t>16</w:t>
            </w:r>
            <w:r>
              <w:rPr>
                <w:noProof/>
                <w:webHidden/>
              </w:rPr>
              <w:fldChar w:fldCharType="end"/>
            </w:r>
          </w:hyperlink>
        </w:p>
        <w:p w14:paraId="530C812C" w14:textId="2FD6ABC7" w:rsidR="000E43BB" w:rsidRDefault="000E43BB">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72924" w:history="1">
            <w:r w:rsidRPr="00774B55">
              <w:rPr>
                <w:rStyle w:val="Hyperlink"/>
                <w:rFonts w:eastAsiaTheme="majorEastAsia"/>
                <w:noProof/>
                <w:lang w:val="en-US"/>
              </w:rPr>
              <w:t>4.1.1</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Initial Data Observations</w:t>
            </w:r>
            <w:r>
              <w:rPr>
                <w:noProof/>
                <w:webHidden/>
              </w:rPr>
              <w:tab/>
            </w:r>
            <w:r>
              <w:rPr>
                <w:noProof/>
                <w:webHidden/>
              </w:rPr>
              <w:fldChar w:fldCharType="begin"/>
            </w:r>
            <w:r>
              <w:rPr>
                <w:noProof/>
                <w:webHidden/>
              </w:rPr>
              <w:instrText xml:space="preserve"> PAGEREF _Toc59172924 \h </w:instrText>
            </w:r>
            <w:r>
              <w:rPr>
                <w:noProof/>
                <w:webHidden/>
              </w:rPr>
            </w:r>
            <w:r>
              <w:rPr>
                <w:noProof/>
                <w:webHidden/>
              </w:rPr>
              <w:fldChar w:fldCharType="separate"/>
            </w:r>
            <w:r>
              <w:rPr>
                <w:noProof/>
                <w:webHidden/>
              </w:rPr>
              <w:t>16</w:t>
            </w:r>
            <w:r>
              <w:rPr>
                <w:noProof/>
                <w:webHidden/>
              </w:rPr>
              <w:fldChar w:fldCharType="end"/>
            </w:r>
          </w:hyperlink>
        </w:p>
        <w:p w14:paraId="21C44409" w14:textId="6C1FBB61" w:rsidR="000E43BB" w:rsidRDefault="000E43BB">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72925" w:history="1">
            <w:r w:rsidRPr="00774B55">
              <w:rPr>
                <w:rStyle w:val="Hyperlink"/>
                <w:rFonts w:eastAsiaTheme="majorEastAsia"/>
                <w:noProof/>
                <w:lang w:val="en-US"/>
              </w:rPr>
              <w:t>4.1.2</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Logistic Growth Model Predictions</w:t>
            </w:r>
            <w:r>
              <w:rPr>
                <w:noProof/>
                <w:webHidden/>
              </w:rPr>
              <w:tab/>
            </w:r>
            <w:r>
              <w:rPr>
                <w:noProof/>
                <w:webHidden/>
              </w:rPr>
              <w:fldChar w:fldCharType="begin"/>
            </w:r>
            <w:r>
              <w:rPr>
                <w:noProof/>
                <w:webHidden/>
              </w:rPr>
              <w:instrText xml:space="preserve"> PAGEREF _Toc59172925 \h </w:instrText>
            </w:r>
            <w:r>
              <w:rPr>
                <w:noProof/>
                <w:webHidden/>
              </w:rPr>
            </w:r>
            <w:r>
              <w:rPr>
                <w:noProof/>
                <w:webHidden/>
              </w:rPr>
              <w:fldChar w:fldCharType="separate"/>
            </w:r>
            <w:r>
              <w:rPr>
                <w:noProof/>
                <w:webHidden/>
              </w:rPr>
              <w:t>17</w:t>
            </w:r>
            <w:r>
              <w:rPr>
                <w:noProof/>
                <w:webHidden/>
              </w:rPr>
              <w:fldChar w:fldCharType="end"/>
            </w:r>
          </w:hyperlink>
        </w:p>
        <w:p w14:paraId="0172D8F4" w14:textId="3F4384D8" w:rsidR="000E43BB" w:rsidRDefault="000E43BB">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72926" w:history="1">
            <w:r w:rsidRPr="00774B55">
              <w:rPr>
                <w:rStyle w:val="Hyperlink"/>
                <w:rFonts w:eastAsiaTheme="majorEastAsia"/>
                <w:noProof/>
                <w:lang w:val="en-US"/>
              </w:rPr>
              <w:t>4.1.3</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Bed Capacity</w:t>
            </w:r>
            <w:r>
              <w:rPr>
                <w:noProof/>
                <w:webHidden/>
              </w:rPr>
              <w:tab/>
            </w:r>
            <w:r>
              <w:rPr>
                <w:noProof/>
                <w:webHidden/>
              </w:rPr>
              <w:fldChar w:fldCharType="begin"/>
            </w:r>
            <w:r>
              <w:rPr>
                <w:noProof/>
                <w:webHidden/>
              </w:rPr>
              <w:instrText xml:space="preserve"> PAGEREF _Toc59172926 \h </w:instrText>
            </w:r>
            <w:r>
              <w:rPr>
                <w:noProof/>
                <w:webHidden/>
              </w:rPr>
            </w:r>
            <w:r>
              <w:rPr>
                <w:noProof/>
                <w:webHidden/>
              </w:rPr>
              <w:fldChar w:fldCharType="separate"/>
            </w:r>
            <w:r>
              <w:rPr>
                <w:noProof/>
                <w:webHidden/>
              </w:rPr>
              <w:t>19</w:t>
            </w:r>
            <w:r>
              <w:rPr>
                <w:noProof/>
                <w:webHidden/>
              </w:rPr>
              <w:fldChar w:fldCharType="end"/>
            </w:r>
          </w:hyperlink>
        </w:p>
        <w:p w14:paraId="2DF9A74A" w14:textId="41024CAA" w:rsidR="000E43BB" w:rsidRDefault="000E43BB">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72927" w:history="1">
            <w:r w:rsidRPr="00774B55">
              <w:rPr>
                <w:rStyle w:val="Hyperlink"/>
                <w:rFonts w:eastAsiaTheme="majorEastAsia"/>
                <w:noProof/>
                <w:lang w:val="en-US"/>
              </w:rPr>
              <w:t>4.1.4</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Hospitalized Cases (Current versus Projected)</w:t>
            </w:r>
            <w:r>
              <w:rPr>
                <w:noProof/>
                <w:webHidden/>
              </w:rPr>
              <w:tab/>
            </w:r>
            <w:r>
              <w:rPr>
                <w:noProof/>
                <w:webHidden/>
              </w:rPr>
              <w:fldChar w:fldCharType="begin"/>
            </w:r>
            <w:r>
              <w:rPr>
                <w:noProof/>
                <w:webHidden/>
              </w:rPr>
              <w:instrText xml:space="preserve"> PAGEREF _Toc59172927 \h </w:instrText>
            </w:r>
            <w:r>
              <w:rPr>
                <w:noProof/>
                <w:webHidden/>
              </w:rPr>
            </w:r>
            <w:r>
              <w:rPr>
                <w:noProof/>
                <w:webHidden/>
              </w:rPr>
              <w:fldChar w:fldCharType="separate"/>
            </w:r>
            <w:r>
              <w:rPr>
                <w:noProof/>
                <w:webHidden/>
              </w:rPr>
              <w:t>20</w:t>
            </w:r>
            <w:r>
              <w:rPr>
                <w:noProof/>
                <w:webHidden/>
              </w:rPr>
              <w:fldChar w:fldCharType="end"/>
            </w:r>
          </w:hyperlink>
        </w:p>
        <w:p w14:paraId="5D938086" w14:textId="46D22916"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28" w:history="1">
            <w:r w:rsidRPr="00774B55">
              <w:rPr>
                <w:rStyle w:val="Hyperlink"/>
                <w:rFonts w:eastAsiaTheme="majorEastAsia"/>
                <w:noProof/>
                <w:lang w:val="en-US"/>
              </w:rPr>
              <w:t>4.2</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Discussion</w:t>
            </w:r>
            <w:r>
              <w:rPr>
                <w:noProof/>
                <w:webHidden/>
              </w:rPr>
              <w:tab/>
            </w:r>
            <w:r>
              <w:rPr>
                <w:noProof/>
                <w:webHidden/>
              </w:rPr>
              <w:fldChar w:fldCharType="begin"/>
            </w:r>
            <w:r>
              <w:rPr>
                <w:noProof/>
                <w:webHidden/>
              </w:rPr>
              <w:instrText xml:space="preserve"> PAGEREF _Toc59172928 \h </w:instrText>
            </w:r>
            <w:r>
              <w:rPr>
                <w:noProof/>
                <w:webHidden/>
              </w:rPr>
            </w:r>
            <w:r>
              <w:rPr>
                <w:noProof/>
                <w:webHidden/>
              </w:rPr>
              <w:fldChar w:fldCharType="separate"/>
            </w:r>
            <w:r>
              <w:rPr>
                <w:noProof/>
                <w:webHidden/>
              </w:rPr>
              <w:t>23</w:t>
            </w:r>
            <w:r>
              <w:rPr>
                <w:noProof/>
                <w:webHidden/>
              </w:rPr>
              <w:fldChar w:fldCharType="end"/>
            </w:r>
          </w:hyperlink>
        </w:p>
        <w:p w14:paraId="7EB67452" w14:textId="45DDB956"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29" w:history="1">
            <w:r w:rsidRPr="00774B55">
              <w:rPr>
                <w:rStyle w:val="Hyperlink"/>
                <w:rFonts w:eastAsiaTheme="majorEastAsia"/>
                <w:noProof/>
                <w:lang w:val="en-US"/>
              </w:rPr>
              <w:t>4.3</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_Toc59172929 \h </w:instrText>
            </w:r>
            <w:r>
              <w:rPr>
                <w:noProof/>
                <w:webHidden/>
              </w:rPr>
            </w:r>
            <w:r>
              <w:rPr>
                <w:noProof/>
                <w:webHidden/>
              </w:rPr>
              <w:fldChar w:fldCharType="separate"/>
            </w:r>
            <w:r>
              <w:rPr>
                <w:noProof/>
                <w:webHidden/>
              </w:rPr>
              <w:t>27</w:t>
            </w:r>
            <w:r>
              <w:rPr>
                <w:noProof/>
                <w:webHidden/>
              </w:rPr>
              <w:fldChar w:fldCharType="end"/>
            </w:r>
          </w:hyperlink>
        </w:p>
        <w:p w14:paraId="38997C01" w14:textId="053C383A" w:rsidR="000E43BB" w:rsidRDefault="000E43BB">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72930" w:history="1">
            <w:r w:rsidRPr="00774B55">
              <w:rPr>
                <w:rStyle w:val="Hyperlink"/>
                <w:rFonts w:eastAsiaTheme="majorEastAsia"/>
                <w:noProof/>
                <w:lang w:val="en-US"/>
              </w:rPr>
              <w:t>4.4</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Recommendations and Limitations</w:t>
            </w:r>
            <w:r>
              <w:rPr>
                <w:noProof/>
                <w:webHidden/>
              </w:rPr>
              <w:tab/>
            </w:r>
            <w:r>
              <w:rPr>
                <w:noProof/>
                <w:webHidden/>
              </w:rPr>
              <w:fldChar w:fldCharType="begin"/>
            </w:r>
            <w:r>
              <w:rPr>
                <w:noProof/>
                <w:webHidden/>
              </w:rPr>
              <w:instrText xml:space="preserve"> PAGEREF _Toc59172930 \h </w:instrText>
            </w:r>
            <w:r>
              <w:rPr>
                <w:noProof/>
                <w:webHidden/>
              </w:rPr>
            </w:r>
            <w:r>
              <w:rPr>
                <w:noProof/>
                <w:webHidden/>
              </w:rPr>
              <w:fldChar w:fldCharType="separate"/>
            </w:r>
            <w:r>
              <w:rPr>
                <w:noProof/>
                <w:webHidden/>
              </w:rPr>
              <w:t>27</w:t>
            </w:r>
            <w:r>
              <w:rPr>
                <w:noProof/>
                <w:webHidden/>
              </w:rPr>
              <w:fldChar w:fldCharType="end"/>
            </w:r>
          </w:hyperlink>
        </w:p>
        <w:p w14:paraId="733702E9" w14:textId="75838575" w:rsidR="000E43BB" w:rsidRDefault="000E43BB">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72931" w:history="1">
            <w:r w:rsidRPr="00774B55">
              <w:rPr>
                <w:rStyle w:val="Hyperlink"/>
                <w:rFonts w:eastAsiaTheme="majorEastAsia"/>
                <w:noProof/>
                <w:lang w:val="en-US"/>
              </w:rPr>
              <w:t>4.4.1</w:t>
            </w:r>
            <w:r>
              <w:rPr>
                <w:rFonts w:asciiTheme="minorHAnsi" w:eastAsiaTheme="minorEastAsia" w:hAnsiTheme="minorHAnsi" w:cstheme="minorBidi"/>
                <w:bCs w:val="0"/>
                <w:noProof/>
                <w:color w:val="auto"/>
                <w:sz w:val="22"/>
                <w:szCs w:val="22"/>
                <w:lang w:eastAsia="en-GB"/>
              </w:rPr>
              <w:tab/>
            </w:r>
            <w:r w:rsidRPr="00774B55">
              <w:rPr>
                <w:rStyle w:val="Hyperlink"/>
                <w:rFonts w:eastAsiaTheme="majorEastAsia"/>
                <w:noProof/>
                <w:lang w:val="en-US"/>
              </w:rPr>
              <w:t>Limitations</w:t>
            </w:r>
            <w:r>
              <w:rPr>
                <w:noProof/>
                <w:webHidden/>
              </w:rPr>
              <w:tab/>
            </w:r>
            <w:r>
              <w:rPr>
                <w:noProof/>
                <w:webHidden/>
              </w:rPr>
              <w:fldChar w:fldCharType="begin"/>
            </w:r>
            <w:r>
              <w:rPr>
                <w:noProof/>
                <w:webHidden/>
              </w:rPr>
              <w:instrText xml:space="preserve"> PAGEREF _Toc59172931 \h </w:instrText>
            </w:r>
            <w:r>
              <w:rPr>
                <w:noProof/>
                <w:webHidden/>
              </w:rPr>
            </w:r>
            <w:r>
              <w:rPr>
                <w:noProof/>
                <w:webHidden/>
              </w:rPr>
              <w:fldChar w:fldCharType="separate"/>
            </w:r>
            <w:r>
              <w:rPr>
                <w:noProof/>
                <w:webHidden/>
              </w:rPr>
              <w:t>28</w:t>
            </w:r>
            <w:r>
              <w:rPr>
                <w:noProof/>
                <w:webHidden/>
              </w:rPr>
              <w:fldChar w:fldCharType="end"/>
            </w:r>
          </w:hyperlink>
        </w:p>
        <w:p w14:paraId="2077889A" w14:textId="5CFD6684" w:rsidR="000E43BB" w:rsidRDefault="000E43BB">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72932" w:history="1">
            <w:r w:rsidRPr="00774B55">
              <w:rPr>
                <w:rStyle w:val="Hyperlink"/>
                <w:rFonts w:eastAsiaTheme="majorEastAsia"/>
                <w:noProof/>
              </w:rPr>
              <w:t>References</w:t>
            </w:r>
            <w:r>
              <w:rPr>
                <w:noProof/>
                <w:webHidden/>
              </w:rPr>
              <w:tab/>
            </w:r>
            <w:r>
              <w:rPr>
                <w:noProof/>
                <w:webHidden/>
              </w:rPr>
              <w:fldChar w:fldCharType="begin"/>
            </w:r>
            <w:r>
              <w:rPr>
                <w:noProof/>
                <w:webHidden/>
              </w:rPr>
              <w:instrText xml:space="preserve"> PAGEREF _Toc59172932 \h </w:instrText>
            </w:r>
            <w:r>
              <w:rPr>
                <w:noProof/>
                <w:webHidden/>
              </w:rPr>
            </w:r>
            <w:r>
              <w:rPr>
                <w:noProof/>
                <w:webHidden/>
              </w:rPr>
              <w:fldChar w:fldCharType="separate"/>
            </w:r>
            <w:r>
              <w:rPr>
                <w:noProof/>
                <w:webHidden/>
              </w:rPr>
              <w:t>30</w:t>
            </w:r>
            <w:r>
              <w:rPr>
                <w:noProof/>
                <w:webHidden/>
              </w:rPr>
              <w:fldChar w:fldCharType="end"/>
            </w:r>
          </w:hyperlink>
        </w:p>
        <w:p w14:paraId="24C03B69" w14:textId="1C0BF23C" w:rsidR="000E43BB" w:rsidRDefault="000E43BB">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72933" w:history="1">
            <w:r w:rsidRPr="00774B55">
              <w:rPr>
                <w:rStyle w:val="Hyperlink"/>
                <w:rFonts w:eastAsiaTheme="majorEastAsia"/>
                <w:noProof/>
              </w:rPr>
              <w:t>Appendices</w:t>
            </w:r>
            <w:r>
              <w:rPr>
                <w:noProof/>
                <w:webHidden/>
              </w:rPr>
              <w:tab/>
            </w:r>
            <w:r>
              <w:rPr>
                <w:noProof/>
                <w:webHidden/>
              </w:rPr>
              <w:fldChar w:fldCharType="begin"/>
            </w:r>
            <w:r>
              <w:rPr>
                <w:noProof/>
                <w:webHidden/>
              </w:rPr>
              <w:instrText xml:space="preserve"> PAGEREF _Toc59172933 \h </w:instrText>
            </w:r>
            <w:r>
              <w:rPr>
                <w:noProof/>
                <w:webHidden/>
              </w:rPr>
            </w:r>
            <w:r>
              <w:rPr>
                <w:noProof/>
                <w:webHidden/>
              </w:rPr>
              <w:fldChar w:fldCharType="separate"/>
            </w:r>
            <w:r>
              <w:rPr>
                <w:noProof/>
                <w:webHidden/>
              </w:rPr>
              <w:t>33</w:t>
            </w:r>
            <w:r>
              <w:rPr>
                <w:noProof/>
                <w:webHidden/>
              </w:rPr>
              <w:fldChar w:fldCharType="end"/>
            </w:r>
          </w:hyperlink>
        </w:p>
        <w:p w14:paraId="06C4F813" w14:textId="7DB3FF36" w:rsidR="00806020" w:rsidRDefault="00806020">
          <w:r>
            <w:rPr>
              <w:b/>
              <w:noProof/>
            </w:rPr>
            <w:fldChar w:fldCharType="end"/>
          </w:r>
        </w:p>
      </w:sdtContent>
    </w:sdt>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6916F6E9" w14:textId="2A3A9332" w:rsidR="000E43BB"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72934" w:history="1">
        <w:r w:rsidR="000E43BB" w:rsidRPr="004207C1">
          <w:rPr>
            <w:rStyle w:val="Hyperlink"/>
            <w:rFonts w:eastAsiaTheme="majorEastAsia"/>
            <w:noProof/>
          </w:rPr>
          <w:t>Table (1</w:t>
        </w:r>
        <w:r w:rsidR="000E43BB" w:rsidRPr="004207C1">
          <w:rPr>
            <w:rStyle w:val="Hyperlink"/>
            <w:rFonts w:eastAsiaTheme="majorEastAsia"/>
            <w:noProof/>
            <w:lang w:val="en-US"/>
          </w:rPr>
          <w:t>): Adopted Scenario Variables</w:t>
        </w:r>
        <w:r w:rsidR="000E43BB">
          <w:rPr>
            <w:noProof/>
            <w:webHidden/>
          </w:rPr>
          <w:tab/>
        </w:r>
        <w:r w:rsidR="000E43BB">
          <w:rPr>
            <w:noProof/>
            <w:webHidden/>
          </w:rPr>
          <w:fldChar w:fldCharType="begin"/>
        </w:r>
        <w:r w:rsidR="000E43BB">
          <w:rPr>
            <w:noProof/>
            <w:webHidden/>
          </w:rPr>
          <w:instrText xml:space="preserve"> PAGEREF _Toc59172934 \h </w:instrText>
        </w:r>
        <w:r w:rsidR="000E43BB">
          <w:rPr>
            <w:noProof/>
            <w:webHidden/>
          </w:rPr>
        </w:r>
        <w:r w:rsidR="000E43BB">
          <w:rPr>
            <w:noProof/>
            <w:webHidden/>
          </w:rPr>
          <w:fldChar w:fldCharType="separate"/>
        </w:r>
        <w:r w:rsidR="000E43BB">
          <w:rPr>
            <w:noProof/>
            <w:webHidden/>
          </w:rPr>
          <w:t>7</w:t>
        </w:r>
        <w:r w:rsidR="000E43BB">
          <w:rPr>
            <w:noProof/>
            <w:webHidden/>
          </w:rPr>
          <w:fldChar w:fldCharType="end"/>
        </w:r>
      </w:hyperlink>
    </w:p>
    <w:p w14:paraId="310B2ABA" w14:textId="0F751AAE"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35" w:history="1">
        <w:r w:rsidRPr="004207C1">
          <w:rPr>
            <w:rStyle w:val="Hyperlink"/>
            <w:rFonts w:eastAsiaTheme="majorEastAsia"/>
            <w:noProof/>
          </w:rPr>
          <w:t>Table (2</w:t>
        </w:r>
        <w:r w:rsidRPr="004207C1">
          <w:rPr>
            <w:rStyle w:val="Hyperlink"/>
            <w:rFonts w:eastAsiaTheme="majorEastAsia"/>
            <w:noProof/>
            <w:lang w:val="en-US"/>
          </w:rPr>
          <w:t>): Extracted Variables used in calculation of Research Factors</w:t>
        </w:r>
        <w:r>
          <w:rPr>
            <w:noProof/>
            <w:webHidden/>
          </w:rPr>
          <w:tab/>
        </w:r>
        <w:r>
          <w:rPr>
            <w:noProof/>
            <w:webHidden/>
          </w:rPr>
          <w:fldChar w:fldCharType="begin"/>
        </w:r>
        <w:r>
          <w:rPr>
            <w:noProof/>
            <w:webHidden/>
          </w:rPr>
          <w:instrText xml:space="preserve"> PAGEREF _Toc59172935 \h </w:instrText>
        </w:r>
        <w:r>
          <w:rPr>
            <w:noProof/>
            <w:webHidden/>
          </w:rPr>
        </w:r>
        <w:r>
          <w:rPr>
            <w:noProof/>
            <w:webHidden/>
          </w:rPr>
          <w:fldChar w:fldCharType="separate"/>
        </w:r>
        <w:r>
          <w:rPr>
            <w:noProof/>
            <w:webHidden/>
          </w:rPr>
          <w:t>9</w:t>
        </w:r>
        <w:r>
          <w:rPr>
            <w:noProof/>
            <w:webHidden/>
          </w:rPr>
          <w:fldChar w:fldCharType="end"/>
        </w:r>
      </w:hyperlink>
    </w:p>
    <w:p w14:paraId="1472F27F" w14:textId="751F01EA"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36" w:history="1">
        <w:r w:rsidRPr="004207C1">
          <w:rPr>
            <w:rStyle w:val="Hyperlink"/>
            <w:rFonts w:eastAsiaTheme="majorEastAsia"/>
            <w:noProof/>
          </w:rPr>
          <w:t>Table (3</w:t>
        </w:r>
        <w:r w:rsidRPr="004207C1">
          <w:rPr>
            <w:rStyle w:val="Hyperlink"/>
            <w:rFonts w:eastAsiaTheme="majorEastAsia"/>
            <w:noProof/>
            <w:lang w:val="en-US"/>
          </w:rPr>
          <w:t>): Statistical Results of Bed Capacity related Variables</w:t>
        </w:r>
        <w:r>
          <w:rPr>
            <w:noProof/>
            <w:webHidden/>
          </w:rPr>
          <w:tab/>
        </w:r>
        <w:r>
          <w:rPr>
            <w:noProof/>
            <w:webHidden/>
          </w:rPr>
          <w:fldChar w:fldCharType="begin"/>
        </w:r>
        <w:r>
          <w:rPr>
            <w:noProof/>
            <w:webHidden/>
          </w:rPr>
          <w:instrText xml:space="preserve"> PAGEREF _Toc59172936 \h </w:instrText>
        </w:r>
        <w:r>
          <w:rPr>
            <w:noProof/>
            <w:webHidden/>
          </w:rPr>
        </w:r>
        <w:r>
          <w:rPr>
            <w:noProof/>
            <w:webHidden/>
          </w:rPr>
          <w:fldChar w:fldCharType="separate"/>
        </w:r>
        <w:r>
          <w:rPr>
            <w:noProof/>
            <w:webHidden/>
          </w:rPr>
          <w:t>19</w:t>
        </w:r>
        <w:r>
          <w:rPr>
            <w:noProof/>
            <w:webHidden/>
          </w:rPr>
          <w:fldChar w:fldCharType="end"/>
        </w:r>
      </w:hyperlink>
    </w:p>
    <w:p w14:paraId="007AAD56" w14:textId="18CDAC35" w:rsidR="00571058" w:rsidRDefault="004C73B1" w:rsidP="00571058">
      <w:r>
        <w:fldChar w:fldCharType="end"/>
      </w:r>
    </w:p>
    <w:p w14:paraId="21AF085D" w14:textId="77777777" w:rsidR="005A4B8F" w:rsidRDefault="005A4B8F">
      <w:pPr>
        <w:spacing w:after="160" w:line="259" w:lineRule="auto"/>
        <w:rPr>
          <w:rFonts w:eastAsiaTheme="majorEastAsia" w:cs="Times New Roman"/>
          <w:b/>
          <w:bCs w:val="0"/>
          <w:color w:val="auto"/>
          <w:spacing w:val="-10"/>
          <w:kern w:val="28"/>
          <w:sz w:val="40"/>
          <w:szCs w:val="40"/>
          <w:lang w:val="en-US"/>
        </w:rPr>
      </w:pPr>
      <w:r>
        <w:br w:type="page"/>
      </w:r>
    </w:p>
    <w:p w14:paraId="5913D2D1" w14:textId="1AEA1832" w:rsidR="00052BC9" w:rsidRDefault="00052BC9" w:rsidP="00571058">
      <w:pPr>
        <w:pStyle w:val="UOB-ChapterCover"/>
        <w:jc w:val="left"/>
      </w:pPr>
      <w:r>
        <w:lastRenderedPageBreak/>
        <w:t>List of Figures</w:t>
      </w:r>
    </w:p>
    <w:p w14:paraId="6613A11A" w14:textId="66D75ADC" w:rsidR="000E43BB"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72937" w:history="1">
        <w:r w:rsidR="000E43BB" w:rsidRPr="00710608">
          <w:rPr>
            <w:rStyle w:val="Hyperlink"/>
            <w:rFonts w:eastAsiaTheme="majorEastAsia"/>
            <w:noProof/>
          </w:rPr>
          <w:t>Fig. 1</w:t>
        </w:r>
        <w:r w:rsidR="000E43BB" w:rsidRPr="00710608">
          <w:rPr>
            <w:rStyle w:val="Hyperlink"/>
            <w:rFonts w:eastAsiaTheme="majorEastAsia"/>
            <w:noProof/>
            <w:lang w:val="en-US"/>
          </w:rPr>
          <w:t>: Scenario-Based Design Template</w:t>
        </w:r>
        <w:r w:rsidR="000E43BB">
          <w:rPr>
            <w:noProof/>
            <w:webHidden/>
          </w:rPr>
          <w:tab/>
        </w:r>
        <w:r w:rsidR="000E43BB">
          <w:rPr>
            <w:noProof/>
            <w:webHidden/>
          </w:rPr>
          <w:fldChar w:fldCharType="begin"/>
        </w:r>
        <w:r w:rsidR="000E43BB">
          <w:rPr>
            <w:noProof/>
            <w:webHidden/>
          </w:rPr>
          <w:instrText xml:space="preserve"> PAGEREF _Toc59172937 \h </w:instrText>
        </w:r>
        <w:r w:rsidR="000E43BB">
          <w:rPr>
            <w:noProof/>
            <w:webHidden/>
          </w:rPr>
        </w:r>
        <w:r w:rsidR="000E43BB">
          <w:rPr>
            <w:noProof/>
            <w:webHidden/>
          </w:rPr>
          <w:fldChar w:fldCharType="separate"/>
        </w:r>
        <w:r w:rsidR="000E43BB">
          <w:rPr>
            <w:noProof/>
            <w:webHidden/>
          </w:rPr>
          <w:t>6</w:t>
        </w:r>
        <w:r w:rsidR="000E43BB">
          <w:rPr>
            <w:noProof/>
            <w:webHidden/>
          </w:rPr>
          <w:fldChar w:fldCharType="end"/>
        </w:r>
      </w:hyperlink>
    </w:p>
    <w:p w14:paraId="1A18462D" w14:textId="446C7EED"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38" w:history="1">
        <w:r w:rsidRPr="00710608">
          <w:rPr>
            <w:rStyle w:val="Hyperlink"/>
            <w:rFonts w:eastAsiaTheme="majorEastAsia"/>
            <w:noProof/>
          </w:rPr>
          <w:t>Fig. 2</w:t>
        </w:r>
        <w:r w:rsidRPr="00710608">
          <w:rPr>
            <w:rStyle w:val="Hyperlink"/>
            <w:rFonts w:eastAsiaTheme="majorEastAsia"/>
            <w:noProof/>
            <w:lang w:val="en-US"/>
          </w:rPr>
          <w:t>: High-Level Data Collection Procedure</w:t>
        </w:r>
        <w:r>
          <w:rPr>
            <w:noProof/>
            <w:webHidden/>
          </w:rPr>
          <w:tab/>
        </w:r>
        <w:r>
          <w:rPr>
            <w:noProof/>
            <w:webHidden/>
          </w:rPr>
          <w:fldChar w:fldCharType="begin"/>
        </w:r>
        <w:r>
          <w:rPr>
            <w:noProof/>
            <w:webHidden/>
          </w:rPr>
          <w:instrText xml:space="preserve"> PAGEREF _Toc59172938 \h </w:instrText>
        </w:r>
        <w:r>
          <w:rPr>
            <w:noProof/>
            <w:webHidden/>
          </w:rPr>
        </w:r>
        <w:r>
          <w:rPr>
            <w:noProof/>
            <w:webHidden/>
          </w:rPr>
          <w:fldChar w:fldCharType="separate"/>
        </w:r>
        <w:r>
          <w:rPr>
            <w:noProof/>
            <w:webHidden/>
          </w:rPr>
          <w:t>10</w:t>
        </w:r>
        <w:r>
          <w:rPr>
            <w:noProof/>
            <w:webHidden/>
          </w:rPr>
          <w:fldChar w:fldCharType="end"/>
        </w:r>
      </w:hyperlink>
    </w:p>
    <w:p w14:paraId="3048FD1F" w14:textId="31747E2E"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39" w:history="1">
        <w:r w:rsidRPr="00710608">
          <w:rPr>
            <w:rStyle w:val="Hyperlink"/>
            <w:rFonts w:eastAsiaTheme="majorEastAsia"/>
            <w:noProof/>
          </w:rPr>
          <w:t>Fig. 3: Detailed Statistical Analysis Process Flow Diagram</w:t>
        </w:r>
        <w:r>
          <w:rPr>
            <w:noProof/>
            <w:webHidden/>
          </w:rPr>
          <w:tab/>
        </w:r>
        <w:r>
          <w:rPr>
            <w:noProof/>
            <w:webHidden/>
          </w:rPr>
          <w:fldChar w:fldCharType="begin"/>
        </w:r>
        <w:r>
          <w:rPr>
            <w:noProof/>
            <w:webHidden/>
          </w:rPr>
          <w:instrText xml:space="preserve"> PAGEREF _Toc59172939 \h </w:instrText>
        </w:r>
        <w:r>
          <w:rPr>
            <w:noProof/>
            <w:webHidden/>
          </w:rPr>
        </w:r>
        <w:r>
          <w:rPr>
            <w:noProof/>
            <w:webHidden/>
          </w:rPr>
          <w:fldChar w:fldCharType="separate"/>
        </w:r>
        <w:r>
          <w:rPr>
            <w:noProof/>
            <w:webHidden/>
          </w:rPr>
          <w:t>14</w:t>
        </w:r>
        <w:r>
          <w:rPr>
            <w:noProof/>
            <w:webHidden/>
          </w:rPr>
          <w:fldChar w:fldCharType="end"/>
        </w:r>
      </w:hyperlink>
    </w:p>
    <w:p w14:paraId="7B2360C1" w14:textId="078F2C47"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40" w:history="1">
        <w:r w:rsidRPr="00710608">
          <w:rPr>
            <w:rStyle w:val="Hyperlink"/>
            <w:rFonts w:eastAsiaTheme="majorEastAsia"/>
            <w:noProof/>
          </w:rPr>
          <w:t>Fig. 4: Trend Observation Plots of COVID-19 Total Cases and Deaths in Bahrain</w:t>
        </w:r>
        <w:r>
          <w:rPr>
            <w:noProof/>
            <w:webHidden/>
          </w:rPr>
          <w:tab/>
        </w:r>
        <w:r>
          <w:rPr>
            <w:noProof/>
            <w:webHidden/>
          </w:rPr>
          <w:fldChar w:fldCharType="begin"/>
        </w:r>
        <w:r>
          <w:rPr>
            <w:noProof/>
            <w:webHidden/>
          </w:rPr>
          <w:instrText xml:space="preserve"> PAGEREF _Toc59172940 \h </w:instrText>
        </w:r>
        <w:r>
          <w:rPr>
            <w:noProof/>
            <w:webHidden/>
          </w:rPr>
        </w:r>
        <w:r>
          <w:rPr>
            <w:noProof/>
            <w:webHidden/>
          </w:rPr>
          <w:fldChar w:fldCharType="separate"/>
        </w:r>
        <w:r>
          <w:rPr>
            <w:noProof/>
            <w:webHidden/>
          </w:rPr>
          <w:t>17</w:t>
        </w:r>
        <w:r>
          <w:rPr>
            <w:noProof/>
            <w:webHidden/>
          </w:rPr>
          <w:fldChar w:fldCharType="end"/>
        </w:r>
      </w:hyperlink>
    </w:p>
    <w:p w14:paraId="1743CBCB" w14:textId="312E36A6"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41" w:history="1">
        <w:r w:rsidRPr="00710608">
          <w:rPr>
            <w:rStyle w:val="Hyperlink"/>
            <w:rFonts w:eastAsiaTheme="majorEastAsia"/>
            <w:noProof/>
          </w:rPr>
          <w:t>Fig. 5</w:t>
        </w:r>
        <w:r w:rsidRPr="00710608">
          <w:rPr>
            <w:rStyle w:val="Hyperlink"/>
            <w:rFonts w:eastAsiaTheme="majorEastAsia"/>
            <w:noProof/>
            <w:lang w:val="en-US"/>
          </w:rPr>
          <w:t>: Logistic Growth Model of COVID-19 in the Kingdom of Bahrain</w:t>
        </w:r>
        <w:r>
          <w:rPr>
            <w:noProof/>
            <w:webHidden/>
          </w:rPr>
          <w:tab/>
        </w:r>
        <w:r>
          <w:rPr>
            <w:noProof/>
            <w:webHidden/>
          </w:rPr>
          <w:fldChar w:fldCharType="begin"/>
        </w:r>
        <w:r>
          <w:rPr>
            <w:noProof/>
            <w:webHidden/>
          </w:rPr>
          <w:instrText xml:space="preserve"> PAGEREF _Toc59172941 \h </w:instrText>
        </w:r>
        <w:r>
          <w:rPr>
            <w:noProof/>
            <w:webHidden/>
          </w:rPr>
        </w:r>
        <w:r>
          <w:rPr>
            <w:noProof/>
            <w:webHidden/>
          </w:rPr>
          <w:fldChar w:fldCharType="separate"/>
        </w:r>
        <w:r>
          <w:rPr>
            <w:noProof/>
            <w:webHidden/>
          </w:rPr>
          <w:t>18</w:t>
        </w:r>
        <w:r>
          <w:rPr>
            <w:noProof/>
            <w:webHidden/>
          </w:rPr>
          <w:fldChar w:fldCharType="end"/>
        </w:r>
      </w:hyperlink>
    </w:p>
    <w:p w14:paraId="1EEDF201" w14:textId="1E0A70B3"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42" w:history="1">
        <w:r w:rsidRPr="00710608">
          <w:rPr>
            <w:rStyle w:val="Hyperlink"/>
            <w:rFonts w:eastAsiaTheme="majorEastAsia"/>
            <w:noProof/>
          </w:rPr>
          <w:t>Fig. 6</w:t>
        </w:r>
        <w:r w:rsidRPr="00710608">
          <w:rPr>
            <w:rStyle w:val="Hyperlink"/>
            <w:rFonts w:eastAsiaTheme="majorEastAsia"/>
            <w:noProof/>
            <w:lang w:val="en-US"/>
          </w:rPr>
          <w:t>: Projected Cases and Hospitalized Cases</w:t>
        </w:r>
        <w:r>
          <w:rPr>
            <w:noProof/>
            <w:webHidden/>
          </w:rPr>
          <w:tab/>
        </w:r>
        <w:r>
          <w:rPr>
            <w:noProof/>
            <w:webHidden/>
          </w:rPr>
          <w:fldChar w:fldCharType="begin"/>
        </w:r>
        <w:r>
          <w:rPr>
            <w:noProof/>
            <w:webHidden/>
          </w:rPr>
          <w:instrText xml:space="preserve"> PAGEREF _Toc59172942 \h </w:instrText>
        </w:r>
        <w:r>
          <w:rPr>
            <w:noProof/>
            <w:webHidden/>
          </w:rPr>
        </w:r>
        <w:r>
          <w:rPr>
            <w:noProof/>
            <w:webHidden/>
          </w:rPr>
          <w:fldChar w:fldCharType="separate"/>
        </w:r>
        <w:r>
          <w:rPr>
            <w:noProof/>
            <w:webHidden/>
          </w:rPr>
          <w:t>20</w:t>
        </w:r>
        <w:r>
          <w:rPr>
            <w:noProof/>
            <w:webHidden/>
          </w:rPr>
          <w:fldChar w:fldCharType="end"/>
        </w:r>
      </w:hyperlink>
    </w:p>
    <w:p w14:paraId="2969E03D" w14:textId="2C5773F5"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43" w:history="1">
        <w:r w:rsidRPr="00710608">
          <w:rPr>
            <w:rStyle w:val="Hyperlink"/>
            <w:rFonts w:eastAsiaTheme="majorEastAsia"/>
            <w:noProof/>
          </w:rPr>
          <w:t>Fig. 7</w:t>
        </w:r>
        <w:r w:rsidRPr="00710608">
          <w:rPr>
            <w:rStyle w:val="Hyperlink"/>
            <w:rFonts w:eastAsiaTheme="majorEastAsia"/>
            <w:noProof/>
            <w:lang w:val="en-US"/>
          </w:rPr>
          <w:t>: Projected Hospitalized Cases and Available Beds</w:t>
        </w:r>
        <w:r>
          <w:rPr>
            <w:noProof/>
            <w:webHidden/>
          </w:rPr>
          <w:tab/>
        </w:r>
        <w:r>
          <w:rPr>
            <w:noProof/>
            <w:webHidden/>
          </w:rPr>
          <w:fldChar w:fldCharType="begin"/>
        </w:r>
        <w:r>
          <w:rPr>
            <w:noProof/>
            <w:webHidden/>
          </w:rPr>
          <w:instrText xml:space="preserve"> PAGEREF _Toc59172943 \h </w:instrText>
        </w:r>
        <w:r>
          <w:rPr>
            <w:noProof/>
            <w:webHidden/>
          </w:rPr>
        </w:r>
        <w:r>
          <w:rPr>
            <w:noProof/>
            <w:webHidden/>
          </w:rPr>
          <w:fldChar w:fldCharType="separate"/>
        </w:r>
        <w:r>
          <w:rPr>
            <w:noProof/>
            <w:webHidden/>
          </w:rPr>
          <w:t>21</w:t>
        </w:r>
        <w:r>
          <w:rPr>
            <w:noProof/>
            <w:webHidden/>
          </w:rPr>
          <w:fldChar w:fldCharType="end"/>
        </w:r>
      </w:hyperlink>
    </w:p>
    <w:p w14:paraId="5DCC4FC3" w14:textId="79B8D76F"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44" w:history="1">
        <w:r w:rsidRPr="00710608">
          <w:rPr>
            <w:rStyle w:val="Hyperlink"/>
            <w:rFonts w:eastAsiaTheme="majorEastAsia"/>
            <w:noProof/>
          </w:rPr>
          <w:t>Fig. 8</w:t>
        </w:r>
        <w:r w:rsidRPr="00710608">
          <w:rPr>
            <w:rStyle w:val="Hyperlink"/>
            <w:rFonts w:eastAsiaTheme="majorEastAsia"/>
            <w:noProof/>
            <w:lang w:val="en-US"/>
          </w:rPr>
          <w:t>: Side-by-side Projected COVID-19 Cases, Hospitalized Cases, and Available Beds</w:t>
        </w:r>
        <w:r>
          <w:rPr>
            <w:noProof/>
            <w:webHidden/>
          </w:rPr>
          <w:tab/>
        </w:r>
        <w:r>
          <w:rPr>
            <w:noProof/>
            <w:webHidden/>
          </w:rPr>
          <w:fldChar w:fldCharType="begin"/>
        </w:r>
        <w:r>
          <w:rPr>
            <w:noProof/>
            <w:webHidden/>
          </w:rPr>
          <w:instrText xml:space="preserve"> PAGEREF _Toc59172944 \h </w:instrText>
        </w:r>
        <w:r>
          <w:rPr>
            <w:noProof/>
            <w:webHidden/>
          </w:rPr>
        </w:r>
        <w:r>
          <w:rPr>
            <w:noProof/>
            <w:webHidden/>
          </w:rPr>
          <w:fldChar w:fldCharType="separate"/>
        </w:r>
        <w:r>
          <w:rPr>
            <w:noProof/>
            <w:webHidden/>
          </w:rPr>
          <w:t>22</w:t>
        </w:r>
        <w:r>
          <w:rPr>
            <w:noProof/>
            <w:webHidden/>
          </w:rPr>
          <w:fldChar w:fldCharType="end"/>
        </w:r>
      </w:hyperlink>
    </w:p>
    <w:p w14:paraId="021CD03F" w14:textId="275EB768"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45" w:history="1">
        <w:r w:rsidRPr="00710608">
          <w:rPr>
            <w:rStyle w:val="Hyperlink"/>
            <w:rFonts w:eastAsiaTheme="majorEastAsia"/>
            <w:noProof/>
          </w:rPr>
          <w:t>Fig. 9</w:t>
        </w:r>
        <w:r w:rsidRPr="00710608">
          <w:rPr>
            <w:rStyle w:val="Hyperlink"/>
            <w:rFonts w:eastAsiaTheme="majorEastAsia"/>
            <w:noProof/>
            <w:lang w:val="en-US"/>
          </w:rPr>
          <w:t>: Actual Data and Predicted Model Data</w:t>
        </w:r>
        <w:r>
          <w:rPr>
            <w:noProof/>
            <w:webHidden/>
          </w:rPr>
          <w:tab/>
        </w:r>
        <w:r>
          <w:rPr>
            <w:noProof/>
            <w:webHidden/>
          </w:rPr>
          <w:fldChar w:fldCharType="begin"/>
        </w:r>
        <w:r>
          <w:rPr>
            <w:noProof/>
            <w:webHidden/>
          </w:rPr>
          <w:instrText xml:space="preserve"> PAGEREF _Toc59172945 \h </w:instrText>
        </w:r>
        <w:r>
          <w:rPr>
            <w:noProof/>
            <w:webHidden/>
          </w:rPr>
        </w:r>
        <w:r>
          <w:rPr>
            <w:noProof/>
            <w:webHidden/>
          </w:rPr>
          <w:fldChar w:fldCharType="separate"/>
        </w:r>
        <w:r>
          <w:rPr>
            <w:noProof/>
            <w:webHidden/>
          </w:rPr>
          <w:t>23</w:t>
        </w:r>
        <w:r>
          <w:rPr>
            <w:noProof/>
            <w:webHidden/>
          </w:rPr>
          <w:fldChar w:fldCharType="end"/>
        </w:r>
      </w:hyperlink>
    </w:p>
    <w:p w14:paraId="266DC3A6" w14:textId="1820A64E"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46" w:history="1">
        <w:r w:rsidRPr="00710608">
          <w:rPr>
            <w:rStyle w:val="Hyperlink"/>
            <w:rFonts w:eastAsiaTheme="majorEastAsia"/>
            <w:noProof/>
          </w:rPr>
          <w:t>Fig. 10</w:t>
        </w:r>
        <w:r w:rsidRPr="00710608">
          <w:rPr>
            <w:rStyle w:val="Hyperlink"/>
            <w:rFonts w:eastAsiaTheme="majorEastAsia"/>
            <w:noProof/>
            <w:lang w:val="en-US"/>
          </w:rPr>
          <w:t>: Actual Data versus Logistic Growth Model</w:t>
        </w:r>
        <w:r>
          <w:rPr>
            <w:noProof/>
            <w:webHidden/>
          </w:rPr>
          <w:tab/>
        </w:r>
        <w:r>
          <w:rPr>
            <w:noProof/>
            <w:webHidden/>
          </w:rPr>
          <w:fldChar w:fldCharType="begin"/>
        </w:r>
        <w:r>
          <w:rPr>
            <w:noProof/>
            <w:webHidden/>
          </w:rPr>
          <w:instrText xml:space="preserve"> PAGEREF _Toc59172946 \h </w:instrText>
        </w:r>
        <w:r>
          <w:rPr>
            <w:noProof/>
            <w:webHidden/>
          </w:rPr>
        </w:r>
        <w:r>
          <w:rPr>
            <w:noProof/>
            <w:webHidden/>
          </w:rPr>
          <w:fldChar w:fldCharType="separate"/>
        </w:r>
        <w:r>
          <w:rPr>
            <w:noProof/>
            <w:webHidden/>
          </w:rPr>
          <w:t>24</w:t>
        </w:r>
        <w:r>
          <w:rPr>
            <w:noProof/>
            <w:webHidden/>
          </w:rPr>
          <w:fldChar w:fldCharType="end"/>
        </w:r>
      </w:hyperlink>
    </w:p>
    <w:p w14:paraId="4397C4F7" w14:textId="5BF78B13" w:rsidR="00571058" w:rsidRDefault="00571058" w:rsidP="00571058">
      <w:r>
        <w:fldChar w:fldCharType="end"/>
      </w:r>
    </w:p>
    <w:p w14:paraId="452CD897" w14:textId="77777777" w:rsidR="005A4B8F" w:rsidRDefault="005A4B8F">
      <w:pPr>
        <w:spacing w:after="160" w:line="259" w:lineRule="auto"/>
        <w:rPr>
          <w:rFonts w:eastAsiaTheme="majorEastAsia" w:cs="Times New Roman"/>
          <w:b/>
          <w:bCs w:val="0"/>
          <w:color w:val="auto"/>
          <w:spacing w:val="-10"/>
          <w:kern w:val="28"/>
          <w:sz w:val="40"/>
          <w:szCs w:val="40"/>
          <w:lang w:val="en-US"/>
        </w:rPr>
      </w:pPr>
      <w:r>
        <w:br w:type="page"/>
      </w:r>
    </w:p>
    <w:p w14:paraId="5E28F983" w14:textId="651DD979" w:rsidR="002B0217" w:rsidRDefault="002B0217" w:rsidP="002B0217">
      <w:pPr>
        <w:pStyle w:val="UOB-ChapterCover"/>
        <w:jc w:val="left"/>
      </w:pPr>
      <w:r>
        <w:lastRenderedPageBreak/>
        <w:t>List of Equations</w:t>
      </w:r>
    </w:p>
    <w:p w14:paraId="4B0CED09" w14:textId="2B62DC50" w:rsidR="000E43BB"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72947" w:history="1">
        <w:r w:rsidR="000E43BB" w:rsidRPr="00900157">
          <w:rPr>
            <w:rStyle w:val="Hyperlink"/>
            <w:rFonts w:eastAsiaTheme="majorEastAsia"/>
            <w:noProof/>
          </w:rPr>
          <w:t>Equation 1</w:t>
        </w:r>
        <w:r w:rsidR="000E43BB" w:rsidRPr="00900157">
          <w:rPr>
            <w:rStyle w:val="Hyperlink"/>
            <w:rFonts w:eastAsiaTheme="majorEastAsia"/>
            <w:noProof/>
            <w:lang w:val="en-US"/>
          </w:rPr>
          <w:t>: Adopted Logistic Growth Model</w:t>
        </w:r>
        <w:r w:rsidR="000E43BB">
          <w:rPr>
            <w:noProof/>
            <w:webHidden/>
          </w:rPr>
          <w:tab/>
        </w:r>
        <w:r w:rsidR="000E43BB">
          <w:rPr>
            <w:noProof/>
            <w:webHidden/>
          </w:rPr>
          <w:fldChar w:fldCharType="begin"/>
        </w:r>
        <w:r w:rsidR="000E43BB">
          <w:rPr>
            <w:noProof/>
            <w:webHidden/>
          </w:rPr>
          <w:instrText xml:space="preserve"> PAGEREF _Toc59172947 \h </w:instrText>
        </w:r>
        <w:r w:rsidR="000E43BB">
          <w:rPr>
            <w:noProof/>
            <w:webHidden/>
          </w:rPr>
        </w:r>
        <w:r w:rsidR="000E43BB">
          <w:rPr>
            <w:noProof/>
            <w:webHidden/>
          </w:rPr>
          <w:fldChar w:fldCharType="separate"/>
        </w:r>
        <w:r w:rsidR="000E43BB">
          <w:rPr>
            <w:noProof/>
            <w:webHidden/>
          </w:rPr>
          <w:t>11</w:t>
        </w:r>
        <w:r w:rsidR="000E43BB">
          <w:rPr>
            <w:noProof/>
            <w:webHidden/>
          </w:rPr>
          <w:fldChar w:fldCharType="end"/>
        </w:r>
      </w:hyperlink>
    </w:p>
    <w:p w14:paraId="49EE60DD" w14:textId="15188231"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48" w:history="1">
        <w:r w:rsidRPr="00900157">
          <w:rPr>
            <w:rStyle w:val="Hyperlink"/>
            <w:rFonts w:eastAsiaTheme="majorEastAsia"/>
            <w:noProof/>
          </w:rPr>
          <w:t>Equation 2: Calculation of Total Hospital Beds</w:t>
        </w:r>
        <w:r>
          <w:rPr>
            <w:noProof/>
            <w:webHidden/>
          </w:rPr>
          <w:tab/>
        </w:r>
        <w:r>
          <w:rPr>
            <w:noProof/>
            <w:webHidden/>
          </w:rPr>
          <w:fldChar w:fldCharType="begin"/>
        </w:r>
        <w:r>
          <w:rPr>
            <w:noProof/>
            <w:webHidden/>
          </w:rPr>
          <w:instrText xml:space="preserve"> PAGEREF _Toc59172948 \h </w:instrText>
        </w:r>
        <w:r>
          <w:rPr>
            <w:noProof/>
            <w:webHidden/>
          </w:rPr>
        </w:r>
        <w:r>
          <w:rPr>
            <w:noProof/>
            <w:webHidden/>
          </w:rPr>
          <w:fldChar w:fldCharType="separate"/>
        </w:r>
        <w:r>
          <w:rPr>
            <w:noProof/>
            <w:webHidden/>
          </w:rPr>
          <w:t>12</w:t>
        </w:r>
        <w:r>
          <w:rPr>
            <w:noProof/>
            <w:webHidden/>
          </w:rPr>
          <w:fldChar w:fldCharType="end"/>
        </w:r>
      </w:hyperlink>
    </w:p>
    <w:p w14:paraId="5906DC05" w14:textId="4F94122C"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49" w:history="1">
        <w:r w:rsidRPr="00900157">
          <w:rPr>
            <w:rStyle w:val="Hyperlink"/>
            <w:rFonts w:eastAsiaTheme="majorEastAsia"/>
            <w:noProof/>
          </w:rPr>
          <w:t>Equation 3: Calculation of Available Hospital Beds</w:t>
        </w:r>
        <w:r>
          <w:rPr>
            <w:noProof/>
            <w:webHidden/>
          </w:rPr>
          <w:tab/>
        </w:r>
        <w:r>
          <w:rPr>
            <w:noProof/>
            <w:webHidden/>
          </w:rPr>
          <w:fldChar w:fldCharType="begin"/>
        </w:r>
        <w:r>
          <w:rPr>
            <w:noProof/>
            <w:webHidden/>
          </w:rPr>
          <w:instrText xml:space="preserve"> PAGEREF _Toc59172949 \h </w:instrText>
        </w:r>
        <w:r>
          <w:rPr>
            <w:noProof/>
            <w:webHidden/>
          </w:rPr>
        </w:r>
        <w:r>
          <w:rPr>
            <w:noProof/>
            <w:webHidden/>
          </w:rPr>
          <w:fldChar w:fldCharType="separate"/>
        </w:r>
        <w:r>
          <w:rPr>
            <w:noProof/>
            <w:webHidden/>
          </w:rPr>
          <w:t>12</w:t>
        </w:r>
        <w:r>
          <w:rPr>
            <w:noProof/>
            <w:webHidden/>
          </w:rPr>
          <w:fldChar w:fldCharType="end"/>
        </w:r>
      </w:hyperlink>
    </w:p>
    <w:p w14:paraId="77338E92" w14:textId="538ED023"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50" w:history="1">
        <w:r w:rsidRPr="00900157">
          <w:rPr>
            <w:rStyle w:val="Hyperlink"/>
            <w:rFonts w:eastAsiaTheme="majorEastAsia"/>
            <w:noProof/>
          </w:rPr>
          <w:t>Equation 4: Calculation of Total IQC Beds</w:t>
        </w:r>
        <w:r>
          <w:rPr>
            <w:noProof/>
            <w:webHidden/>
          </w:rPr>
          <w:tab/>
        </w:r>
        <w:r>
          <w:rPr>
            <w:noProof/>
            <w:webHidden/>
          </w:rPr>
          <w:fldChar w:fldCharType="begin"/>
        </w:r>
        <w:r>
          <w:rPr>
            <w:noProof/>
            <w:webHidden/>
          </w:rPr>
          <w:instrText xml:space="preserve"> PAGEREF _Toc59172950 \h </w:instrText>
        </w:r>
        <w:r>
          <w:rPr>
            <w:noProof/>
            <w:webHidden/>
          </w:rPr>
        </w:r>
        <w:r>
          <w:rPr>
            <w:noProof/>
            <w:webHidden/>
          </w:rPr>
          <w:fldChar w:fldCharType="separate"/>
        </w:r>
        <w:r>
          <w:rPr>
            <w:noProof/>
            <w:webHidden/>
          </w:rPr>
          <w:t>12</w:t>
        </w:r>
        <w:r>
          <w:rPr>
            <w:noProof/>
            <w:webHidden/>
          </w:rPr>
          <w:fldChar w:fldCharType="end"/>
        </w:r>
      </w:hyperlink>
    </w:p>
    <w:p w14:paraId="0FF16051" w14:textId="1E7C3504"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51" w:history="1">
        <w:r w:rsidRPr="00900157">
          <w:rPr>
            <w:rStyle w:val="Hyperlink"/>
            <w:rFonts w:eastAsiaTheme="majorEastAsia"/>
            <w:noProof/>
          </w:rPr>
          <w:t>Equation 5: Calculation of IQC BOR</w:t>
        </w:r>
        <w:r>
          <w:rPr>
            <w:noProof/>
            <w:webHidden/>
          </w:rPr>
          <w:tab/>
        </w:r>
        <w:r>
          <w:rPr>
            <w:noProof/>
            <w:webHidden/>
          </w:rPr>
          <w:fldChar w:fldCharType="begin"/>
        </w:r>
        <w:r>
          <w:rPr>
            <w:noProof/>
            <w:webHidden/>
          </w:rPr>
          <w:instrText xml:space="preserve"> PAGEREF _Toc59172951 \h </w:instrText>
        </w:r>
        <w:r>
          <w:rPr>
            <w:noProof/>
            <w:webHidden/>
          </w:rPr>
        </w:r>
        <w:r>
          <w:rPr>
            <w:noProof/>
            <w:webHidden/>
          </w:rPr>
          <w:fldChar w:fldCharType="separate"/>
        </w:r>
        <w:r>
          <w:rPr>
            <w:noProof/>
            <w:webHidden/>
          </w:rPr>
          <w:t>13</w:t>
        </w:r>
        <w:r>
          <w:rPr>
            <w:noProof/>
            <w:webHidden/>
          </w:rPr>
          <w:fldChar w:fldCharType="end"/>
        </w:r>
      </w:hyperlink>
    </w:p>
    <w:p w14:paraId="3A08BED8" w14:textId="1932D397"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52" w:history="1">
        <w:r w:rsidRPr="00900157">
          <w:rPr>
            <w:rStyle w:val="Hyperlink"/>
            <w:rFonts w:eastAsiaTheme="majorEastAsia"/>
            <w:noProof/>
          </w:rPr>
          <w:t>Equation 6: Calculation of Available IQC Beds</w:t>
        </w:r>
        <w:r>
          <w:rPr>
            <w:noProof/>
            <w:webHidden/>
          </w:rPr>
          <w:tab/>
        </w:r>
        <w:r>
          <w:rPr>
            <w:noProof/>
            <w:webHidden/>
          </w:rPr>
          <w:fldChar w:fldCharType="begin"/>
        </w:r>
        <w:r>
          <w:rPr>
            <w:noProof/>
            <w:webHidden/>
          </w:rPr>
          <w:instrText xml:space="preserve"> PAGEREF _Toc59172952 \h </w:instrText>
        </w:r>
        <w:r>
          <w:rPr>
            <w:noProof/>
            <w:webHidden/>
          </w:rPr>
        </w:r>
        <w:r>
          <w:rPr>
            <w:noProof/>
            <w:webHidden/>
          </w:rPr>
          <w:fldChar w:fldCharType="separate"/>
        </w:r>
        <w:r>
          <w:rPr>
            <w:noProof/>
            <w:webHidden/>
          </w:rPr>
          <w:t>13</w:t>
        </w:r>
        <w:r>
          <w:rPr>
            <w:noProof/>
            <w:webHidden/>
          </w:rPr>
          <w:fldChar w:fldCharType="end"/>
        </w:r>
      </w:hyperlink>
    </w:p>
    <w:p w14:paraId="7C8E3FE1" w14:textId="224A6916"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53" w:history="1">
        <w:r w:rsidRPr="00900157">
          <w:rPr>
            <w:rStyle w:val="Hyperlink"/>
            <w:rFonts w:eastAsiaTheme="majorEastAsia"/>
            <w:noProof/>
          </w:rPr>
          <w:t>Equation 7: Calculation of Total Available Beds</w:t>
        </w:r>
        <w:r>
          <w:rPr>
            <w:noProof/>
            <w:webHidden/>
          </w:rPr>
          <w:tab/>
        </w:r>
        <w:r>
          <w:rPr>
            <w:noProof/>
            <w:webHidden/>
          </w:rPr>
          <w:fldChar w:fldCharType="begin"/>
        </w:r>
        <w:r>
          <w:rPr>
            <w:noProof/>
            <w:webHidden/>
          </w:rPr>
          <w:instrText xml:space="preserve"> PAGEREF _Toc59172953 \h </w:instrText>
        </w:r>
        <w:r>
          <w:rPr>
            <w:noProof/>
            <w:webHidden/>
          </w:rPr>
        </w:r>
        <w:r>
          <w:rPr>
            <w:noProof/>
            <w:webHidden/>
          </w:rPr>
          <w:fldChar w:fldCharType="separate"/>
        </w:r>
        <w:r>
          <w:rPr>
            <w:noProof/>
            <w:webHidden/>
          </w:rPr>
          <w:t>13</w:t>
        </w:r>
        <w:r>
          <w:rPr>
            <w:noProof/>
            <w:webHidden/>
          </w:rPr>
          <w:fldChar w:fldCharType="end"/>
        </w:r>
      </w:hyperlink>
    </w:p>
    <w:p w14:paraId="78358BA7" w14:textId="5CD2BFDB"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54" w:history="1">
        <w:r w:rsidRPr="00900157">
          <w:rPr>
            <w:rStyle w:val="Hyperlink"/>
            <w:rFonts w:eastAsiaTheme="majorEastAsia"/>
            <w:noProof/>
          </w:rPr>
          <w:t>Equation 8: Calculation of Current Hospitalization Rate</w:t>
        </w:r>
        <w:r>
          <w:rPr>
            <w:noProof/>
            <w:webHidden/>
          </w:rPr>
          <w:tab/>
        </w:r>
        <w:r>
          <w:rPr>
            <w:noProof/>
            <w:webHidden/>
          </w:rPr>
          <w:fldChar w:fldCharType="begin"/>
        </w:r>
        <w:r>
          <w:rPr>
            <w:noProof/>
            <w:webHidden/>
          </w:rPr>
          <w:instrText xml:space="preserve"> PAGEREF _Toc59172954 \h </w:instrText>
        </w:r>
        <w:r>
          <w:rPr>
            <w:noProof/>
            <w:webHidden/>
          </w:rPr>
        </w:r>
        <w:r>
          <w:rPr>
            <w:noProof/>
            <w:webHidden/>
          </w:rPr>
          <w:fldChar w:fldCharType="separate"/>
        </w:r>
        <w:r>
          <w:rPr>
            <w:noProof/>
            <w:webHidden/>
          </w:rPr>
          <w:t>13</w:t>
        </w:r>
        <w:r>
          <w:rPr>
            <w:noProof/>
            <w:webHidden/>
          </w:rPr>
          <w:fldChar w:fldCharType="end"/>
        </w:r>
      </w:hyperlink>
    </w:p>
    <w:p w14:paraId="393B7BAE" w14:textId="66B7A5CB"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55" w:history="1">
        <w:r w:rsidRPr="00900157">
          <w:rPr>
            <w:rStyle w:val="Hyperlink"/>
            <w:rFonts w:eastAsiaTheme="majorEastAsia"/>
            <w:noProof/>
          </w:rPr>
          <w:t>Equation 9: Calculation of Projected Hospitalized Cases</w:t>
        </w:r>
        <w:r>
          <w:rPr>
            <w:noProof/>
            <w:webHidden/>
          </w:rPr>
          <w:tab/>
        </w:r>
        <w:r>
          <w:rPr>
            <w:noProof/>
            <w:webHidden/>
          </w:rPr>
          <w:fldChar w:fldCharType="begin"/>
        </w:r>
        <w:r>
          <w:rPr>
            <w:noProof/>
            <w:webHidden/>
          </w:rPr>
          <w:instrText xml:space="preserve"> PAGEREF _Toc59172955 \h </w:instrText>
        </w:r>
        <w:r>
          <w:rPr>
            <w:noProof/>
            <w:webHidden/>
          </w:rPr>
        </w:r>
        <w:r>
          <w:rPr>
            <w:noProof/>
            <w:webHidden/>
          </w:rPr>
          <w:fldChar w:fldCharType="separate"/>
        </w:r>
        <w:r>
          <w:rPr>
            <w:noProof/>
            <w:webHidden/>
          </w:rPr>
          <w:t>13</w:t>
        </w:r>
        <w:r>
          <w:rPr>
            <w:noProof/>
            <w:webHidden/>
          </w:rPr>
          <w:fldChar w:fldCharType="end"/>
        </w:r>
      </w:hyperlink>
    </w:p>
    <w:p w14:paraId="3A049F59" w14:textId="3EB56288" w:rsidR="000E43BB" w:rsidRDefault="000E43BB">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72956" w:history="1">
        <w:r w:rsidRPr="00900157">
          <w:rPr>
            <w:rStyle w:val="Hyperlink"/>
            <w:rFonts w:eastAsiaTheme="majorEastAsia"/>
            <w:noProof/>
          </w:rPr>
          <w:t>Equation 10</w:t>
        </w:r>
        <w:r w:rsidRPr="00900157">
          <w:rPr>
            <w:rStyle w:val="Hyperlink"/>
            <w:rFonts w:eastAsiaTheme="majorEastAsia"/>
            <w:noProof/>
            <w:lang w:val="en-US"/>
          </w:rPr>
          <w:t>: Logistic Growth Model - Fitted Model</w:t>
        </w:r>
        <w:r>
          <w:rPr>
            <w:noProof/>
            <w:webHidden/>
          </w:rPr>
          <w:tab/>
        </w:r>
        <w:r>
          <w:rPr>
            <w:noProof/>
            <w:webHidden/>
          </w:rPr>
          <w:fldChar w:fldCharType="begin"/>
        </w:r>
        <w:r>
          <w:rPr>
            <w:noProof/>
            <w:webHidden/>
          </w:rPr>
          <w:instrText xml:space="preserve"> PAGEREF _Toc59172956 \h </w:instrText>
        </w:r>
        <w:r>
          <w:rPr>
            <w:noProof/>
            <w:webHidden/>
          </w:rPr>
        </w:r>
        <w:r>
          <w:rPr>
            <w:noProof/>
            <w:webHidden/>
          </w:rPr>
          <w:fldChar w:fldCharType="separate"/>
        </w:r>
        <w:r>
          <w:rPr>
            <w:noProof/>
            <w:webHidden/>
          </w:rPr>
          <w:t>17</w:t>
        </w:r>
        <w:r>
          <w:rPr>
            <w:noProof/>
            <w:webHidden/>
          </w:rPr>
          <w:fldChar w:fldCharType="end"/>
        </w:r>
      </w:hyperlink>
    </w:p>
    <w:p w14:paraId="5235346C" w14:textId="5E61EAB4"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72900"/>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72901"/>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72902"/>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72903"/>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72904"/>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72905"/>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72906"/>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72907"/>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72908"/>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72909"/>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72910"/>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72911"/>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72912"/>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72913"/>
      <w:r>
        <w:rPr>
          <w:lang w:val="en-US"/>
        </w:rPr>
        <w:t>Methodology</w:t>
      </w:r>
      <w:bookmarkEnd w:id="26"/>
      <w:bookmarkEnd w:id="27"/>
      <w:bookmarkEnd w:id="28"/>
    </w:p>
    <w:p w14:paraId="3275FE03" w14:textId="4D653BC1" w:rsidR="00AB376F" w:rsidRDefault="00D07B8C" w:rsidP="00566423">
      <w:pPr>
        <w:ind w:firstLine="576"/>
        <w:jc w:val="both"/>
        <w:rPr>
          <w:lang w:val="en-US"/>
        </w:rPr>
      </w:pPr>
      <w:bookmarkStart w:id="29" w:name="_Ref58687980"/>
      <w:bookmarkStart w:id="30" w:name="_Ref58688035"/>
      <w:r>
        <w:rPr>
          <w:lang w:val="en-US"/>
        </w:rPr>
        <w:t>T</w:t>
      </w:r>
      <w:r w:rsidR="00C541B1">
        <w:rPr>
          <w:lang w:val="en-US"/>
        </w:rPr>
        <w:t xml:space="preserve">his </w:t>
      </w:r>
      <w:r w:rsidR="000603F6">
        <w:rPr>
          <w:lang w:val="en-US"/>
        </w:rPr>
        <w:t>research</w:t>
      </w:r>
      <w:r w:rsidR="00DE19DA">
        <w:rPr>
          <w:lang w:val="en-US"/>
        </w:rPr>
        <w:t xml:space="preserve"> ha</w:t>
      </w:r>
      <w:r>
        <w:rPr>
          <w:lang w:val="en-US"/>
        </w:rPr>
        <w:t>s</w:t>
      </w:r>
      <w:r w:rsidR="00DE19DA">
        <w:rPr>
          <w:lang w:val="en-US"/>
        </w:rPr>
        <w:t xml:space="preserve"> adopted an exploratory scenario-based research design in which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a statistical </w:t>
      </w:r>
      <w:r w:rsidR="00FE1730">
        <w:rPr>
          <w:lang w:val="en-US"/>
        </w:rPr>
        <w:t xml:space="preserve">growth </w:t>
      </w:r>
      <w:r w:rsidR="0096563E">
        <w:rPr>
          <w:lang w:val="en-US"/>
        </w:rPr>
        <w:t xml:space="preserve">model </w:t>
      </w:r>
      <w:r>
        <w:rPr>
          <w:lang w:val="en-US"/>
        </w:rPr>
        <w:t xml:space="preserve">will be used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Pr>
          <w:lang w:val="en-US"/>
        </w:rPr>
        <w:t xml:space="preserve">it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1EB8509E"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sidR="00E8251E">
        <w:rPr>
          <w:lang w:val="en-US"/>
        </w:rPr>
        <w:t>template,</w:t>
      </w:r>
      <w:r>
        <w:rPr>
          <w:lang w:val="en-US"/>
        </w:rPr>
        <w:t xml:space="preserve"> </w:t>
      </w:r>
      <w:r w:rsidR="00D07B8C">
        <w:rPr>
          <w:lang w:val="en-US"/>
        </w:rPr>
        <w:t xml:space="preserve">which is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C95C4B">
      <w:pPr>
        <w:keepNext/>
        <w:spacing w:line="276" w:lineRule="auto"/>
        <w:jc w:val="center"/>
      </w:pPr>
      <w:r>
        <w:rPr>
          <w:bCs w:val="0"/>
          <w:noProof/>
        </w:rPr>
        <w:drawing>
          <wp:inline distT="0" distB="0" distL="0" distR="0" wp14:anchorId="79C26C94" wp14:editId="04886202">
            <wp:extent cx="5303520" cy="2361873"/>
            <wp:effectExtent l="19050" t="19050" r="1143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solidFill>
                        <a:schemeClr val="tx1"/>
                      </a:solidFill>
                    </a:ln>
                  </pic:spPr>
                </pic:pic>
              </a:graphicData>
            </a:graphic>
          </wp:inline>
        </w:drawing>
      </w:r>
    </w:p>
    <w:p w14:paraId="7893DB8F" w14:textId="0913DD0F" w:rsidR="00014947" w:rsidRPr="00713654" w:rsidRDefault="00F2354F" w:rsidP="00F2354F">
      <w:pPr>
        <w:pStyle w:val="UOB-FigStyle"/>
        <w:rPr>
          <w:b w:val="0"/>
          <w:bCs/>
          <w:lang w:val="en-US"/>
        </w:rPr>
      </w:pPr>
      <w:bookmarkStart w:id="31" w:name="_Ref59063313"/>
      <w:bookmarkStart w:id="32" w:name="_Toc59172937"/>
      <w:r w:rsidRPr="00F2354F">
        <w:t xml:space="preserve">Fig. </w:t>
      </w:r>
      <w:r w:rsidR="00F471F9">
        <w:fldChar w:fldCharType="begin"/>
      </w:r>
      <w:r w:rsidR="00F471F9">
        <w:instrText xml:space="preserve"> SEQ Fig. \* ARABIC </w:instrText>
      </w:r>
      <w:r w:rsidR="00F471F9">
        <w:fldChar w:fldCharType="separate"/>
      </w:r>
      <w:r w:rsidR="00C95C4B">
        <w:rPr>
          <w:noProof/>
        </w:rPr>
        <w:t>1</w:t>
      </w:r>
      <w:r w:rsidR="00F471F9">
        <w:rPr>
          <w:noProof/>
        </w:rPr>
        <w:fldChar w:fldCharType="end"/>
      </w:r>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9B323D6"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illustrate</w:t>
      </w:r>
      <w:r w:rsidR="00D07B8C">
        <w:rPr>
          <w:lang w:val="en-US"/>
        </w:rPr>
        <w:t>s</w:t>
      </w:r>
      <w:r>
        <w:rPr>
          <w:lang w:val="en-US"/>
        </w:rPr>
        <w:t xml:space="preserve"> the assumptions and definitions that </w:t>
      </w:r>
      <w:r w:rsidR="00565EBE">
        <w:rPr>
          <w:lang w:val="en-US"/>
        </w:rPr>
        <w:t>will</w:t>
      </w:r>
      <w:r>
        <w:rPr>
          <w:lang w:val="en-US"/>
        </w:rPr>
        <w:t xml:space="preserve"> </w:t>
      </w:r>
      <w:r w:rsidR="00D07B8C">
        <w:rPr>
          <w:lang w:val="en-US"/>
        </w:rPr>
        <w:t xml:space="preserve">be </w:t>
      </w:r>
      <w:r>
        <w:rPr>
          <w:lang w:val="en-US"/>
        </w:rPr>
        <w:t>use</w:t>
      </w:r>
      <w:r w:rsidR="00D07B8C">
        <w:rPr>
          <w:lang w:val="en-US"/>
        </w:rPr>
        <w:t>d</w:t>
      </w:r>
      <w:r>
        <w:rPr>
          <w:lang w:val="en-US"/>
        </w:rPr>
        <w:t xml:space="preserv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4DBFDF2" w:rsidR="00072BC2" w:rsidRPr="00713654" w:rsidRDefault="00072BC2" w:rsidP="008B5757">
      <w:pPr>
        <w:pStyle w:val="UOB-FigStyle"/>
        <w:spacing w:after="0" w:line="360" w:lineRule="auto"/>
        <w:rPr>
          <w:b w:val="0"/>
          <w:bCs/>
          <w:lang w:val="en-US"/>
        </w:rPr>
      </w:pPr>
      <w:bookmarkStart w:id="33" w:name="_Ref59065197"/>
      <w:bookmarkStart w:id="34" w:name="_Toc59172934"/>
      <w:r>
        <w:t>Table (</w:t>
      </w:r>
      <w:r w:rsidR="00F471F9">
        <w:fldChar w:fldCharType="begin"/>
      </w:r>
      <w:r w:rsidR="00F471F9">
        <w:instrText xml:space="preserve"> SEQ Table_( \* ARABIC </w:instrText>
      </w:r>
      <w:r w:rsidR="00F471F9">
        <w:fldChar w:fldCharType="separate"/>
      </w:r>
      <w:r w:rsidR="00B02D57">
        <w:rPr>
          <w:noProof/>
        </w:rPr>
        <w:t>1</w:t>
      </w:r>
      <w:r w:rsidR="00F471F9">
        <w:rPr>
          <w:noProof/>
        </w:rPr>
        <w:fldChar w:fldCharType="end"/>
      </w:r>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3C1F95FD" w:rsidR="00BB6B64" w:rsidRPr="00BB6B64" w:rsidRDefault="00530D0A" w:rsidP="001122AB">
            <w:pPr>
              <w:spacing w:line="276" w:lineRule="auto"/>
              <w:jc w:val="center"/>
              <w:rPr>
                <w:b/>
                <w:bCs w:val="0"/>
                <w:lang w:val="en-US"/>
              </w:rPr>
            </w:pPr>
            <w:r>
              <w:rPr>
                <w:b/>
                <w:bCs w:val="0"/>
                <w:lang w:val="en-US"/>
              </w:rPr>
              <w:t xml:space="preserve">Adaptation </w:t>
            </w:r>
            <w:r w:rsidR="00AB0DD4">
              <w:rPr>
                <w:b/>
                <w:bCs w:val="0"/>
                <w:lang w:val="en-US"/>
              </w:rPr>
              <w:t xml:space="preserve">in </w:t>
            </w:r>
            <w:r>
              <w:rPr>
                <w:b/>
                <w:bCs w:val="0"/>
                <w:lang w:val="en-US"/>
              </w:rPr>
              <w:t xml:space="preserve">this </w:t>
            </w:r>
            <w:r w:rsidR="00D07B8C">
              <w:rPr>
                <w:b/>
                <w:bCs w:val="0"/>
                <w:lang w:val="en-US"/>
              </w:rPr>
              <w:t xml:space="preserve">research </w:t>
            </w:r>
            <w:r w:rsidR="00AB0DD4">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485B77D9" w:rsidR="00BB6B64" w:rsidRDefault="00D07B8C" w:rsidP="00BB6B64">
            <w:pPr>
              <w:spacing w:line="276" w:lineRule="auto"/>
              <w:jc w:val="both"/>
              <w:rPr>
                <w:lang w:val="en-US"/>
              </w:rPr>
            </w:pPr>
            <w:r>
              <w:rPr>
                <w:lang w:val="en-US"/>
              </w:rPr>
              <w:t xml:space="preserve">The </w:t>
            </w:r>
            <w:r w:rsidR="00AB0DD4">
              <w:rPr>
                <w:lang w:val="en-US"/>
              </w:rPr>
              <w:t xml:space="preserve">Logistic Growth Model </w:t>
            </w:r>
            <w:r>
              <w:rPr>
                <w:lang w:val="en-US"/>
              </w:rPr>
              <w:t xml:space="preserve">will be used </w:t>
            </w:r>
            <w:r w:rsidR="00AB0DD4">
              <w:rPr>
                <w:lang w:val="en-US"/>
              </w:rPr>
              <w:t xml:space="preserve">to project the number of cases in </w:t>
            </w:r>
            <w:r>
              <w:rPr>
                <w:lang w:val="en-US"/>
              </w:rPr>
              <w:t xml:space="preserve">the </w:t>
            </w:r>
            <w:r w:rsidR="00AB0DD4">
              <w:rPr>
                <w:lang w:val="en-US"/>
              </w:rPr>
              <w:t>scenario</w:t>
            </w:r>
            <w:r w:rsidR="00D73CD3">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w:t>
            </w:r>
            <w:r>
              <w:rPr>
                <w:lang w:val="en-US"/>
              </w:rPr>
              <w:t xml:space="preserve"> applied</w:t>
            </w:r>
            <w:r w:rsidR="00AB0DD4">
              <w:rPr>
                <w:lang w:val="en-US"/>
              </w:rPr>
              <w:t xml:space="preserv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1845E1FD" w:rsidR="00BB6B64" w:rsidRDefault="00D76BF6" w:rsidP="00D87000">
            <w:pPr>
              <w:spacing w:line="276" w:lineRule="auto"/>
              <w:jc w:val="both"/>
              <w:rPr>
                <w:lang w:val="en-US"/>
              </w:rPr>
            </w:pPr>
            <w:r>
              <w:rPr>
                <w:lang w:val="en-US"/>
              </w:rPr>
              <w:t>This research</w:t>
            </w:r>
            <w:r w:rsidR="00D07B8C">
              <w:rPr>
                <w:lang w:val="en-US"/>
              </w:rPr>
              <w:t xml:space="preserve"> </w:t>
            </w:r>
            <w:r w:rsidR="007D2143">
              <w:rPr>
                <w:lang w:val="en-US"/>
              </w:rPr>
              <w:t xml:space="preserve">will </w:t>
            </w:r>
            <w:r w:rsidR="00AB0DD4">
              <w:rPr>
                <w:lang w:val="en-US"/>
              </w:rPr>
              <w:t xml:space="preserve">project </w:t>
            </w:r>
            <w:r w:rsidR="00D87000">
              <w:rPr>
                <w:lang w:val="en-US"/>
              </w:rPr>
              <w:t xml:space="preserve">the cases </w:t>
            </w:r>
            <w:r w:rsidR="00AB0DD4">
              <w:rPr>
                <w:lang w:val="en-US"/>
              </w:rPr>
              <w:t>for three months (90 days)</w:t>
            </w:r>
            <w:r w:rsidR="00D87000">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1BFF0494" w:rsidR="00FD39CD" w:rsidRDefault="00D76BF6" w:rsidP="00BB6B64">
            <w:pPr>
              <w:spacing w:line="276" w:lineRule="auto"/>
              <w:jc w:val="both"/>
              <w:rPr>
                <w:lang w:val="en-US"/>
              </w:rPr>
            </w:pPr>
            <w:r>
              <w:rPr>
                <w:lang w:val="en-US"/>
              </w:rPr>
              <w:t>This research</w:t>
            </w:r>
            <w:r w:rsidR="00D07B8C">
              <w:rPr>
                <w:lang w:val="en-US"/>
              </w:rPr>
              <w:t xml:space="preserve"> </w:t>
            </w:r>
            <w:r w:rsidR="009C5823">
              <w:rPr>
                <w:lang w:val="en-US"/>
              </w:rPr>
              <w:t>will use</w:t>
            </w:r>
            <w:r w:rsidR="00FD39CD">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sidR="00FD39CD">
              <w:rPr>
                <w:lang w:val="en-US"/>
              </w:rPr>
              <w:t xml:space="preserve"> on </w:t>
            </w:r>
            <w:r w:rsidR="00FD39CD" w:rsidRPr="00D76BF6">
              <w:rPr>
                <w:lang w:val="en-US"/>
              </w:rPr>
              <w:t>the 1</w:t>
            </w:r>
            <w:r w:rsidR="00FD39CD" w:rsidRPr="00D76BF6">
              <w:rPr>
                <w:vertAlign w:val="superscript"/>
                <w:lang w:val="en-US"/>
              </w:rPr>
              <w:t>st</w:t>
            </w:r>
            <w:r w:rsidR="00FD39CD" w:rsidRPr="00EE3DC3">
              <w:rPr>
                <w:lang w:val="en-US"/>
              </w:rPr>
              <w:t xml:space="preserve"> of </w:t>
            </w:r>
            <w:r w:rsidR="002225B0" w:rsidRPr="00EE3DC3">
              <w:rPr>
                <w:lang w:val="en-US"/>
              </w:rPr>
              <w:t>August</w:t>
            </w:r>
            <w:r w:rsidRPr="00AD578D">
              <w:rPr>
                <w:lang w:val="en-US"/>
              </w:rPr>
              <w:t>,</w:t>
            </w:r>
            <w:r w:rsidR="00FD39CD" w:rsidRPr="00D76BF6">
              <w:rPr>
                <w:lang w:val="en-US"/>
              </w:rPr>
              <w:t xml:space="preserve"> 2020</w:t>
            </w:r>
            <w:r w:rsidR="00FD39CD">
              <w:rPr>
                <w:lang w:val="en-US"/>
              </w:rPr>
              <w:t>. Th</w:t>
            </w:r>
            <w:r w:rsidR="00A7637F">
              <w:rPr>
                <w:lang w:val="en-US"/>
              </w:rPr>
              <w:t xml:space="preserve">ese values </w:t>
            </w:r>
            <w:r w:rsidR="00FD39CD">
              <w:rPr>
                <w:lang w:val="en-US"/>
              </w:rPr>
              <w:t xml:space="preserve">play an important role as </w:t>
            </w:r>
            <w:r w:rsidR="00A7637F">
              <w:rPr>
                <w:lang w:val="en-US"/>
              </w:rPr>
              <w:t xml:space="preserve">they </w:t>
            </w:r>
            <w:r w:rsidR="002225B0">
              <w:rPr>
                <w:lang w:val="en-US"/>
              </w:rPr>
              <w:t>determine</w:t>
            </w:r>
            <w:r w:rsidR="00FD39CD">
              <w:rPr>
                <w:lang w:val="en-US"/>
              </w:rPr>
              <w:t xml:space="preserve"> the hospitalization rate</w:t>
            </w:r>
            <w:r w:rsidR="00A7637F">
              <w:rPr>
                <w:lang w:val="en-US"/>
              </w:rPr>
              <w:t xml:space="preserve"> for </w:t>
            </w:r>
            <w:r w:rsidR="009E1F20">
              <w:rPr>
                <w:lang w:val="en-US"/>
              </w:rPr>
              <w:t>the chosen</w:t>
            </w:r>
            <w:r w:rsidR="00D07B8C">
              <w:rPr>
                <w:lang w:val="en-US"/>
              </w:rPr>
              <w:t xml:space="preserve"> </w:t>
            </w:r>
            <w:r w:rsidR="00A7637F">
              <w:rPr>
                <w:lang w:val="en-US"/>
              </w:rPr>
              <w:t>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1FF27337" w:rsidR="007F7C01" w:rsidRDefault="009E1F20" w:rsidP="00461976">
            <w:pPr>
              <w:spacing w:line="276" w:lineRule="auto"/>
              <w:jc w:val="both"/>
              <w:rPr>
                <w:lang w:val="en-US"/>
              </w:rPr>
            </w:pPr>
            <w:r>
              <w:rPr>
                <w:lang w:val="en-US"/>
              </w:rPr>
              <w:t>T</w:t>
            </w:r>
            <w:r w:rsidR="007F7C01">
              <w:rPr>
                <w:lang w:val="en-US"/>
              </w:rPr>
              <w:t>his value</w:t>
            </w:r>
            <w:r>
              <w:rPr>
                <w:lang w:val="en-US"/>
              </w:rPr>
              <w:t xml:space="preserve"> will be calculated</w:t>
            </w:r>
            <w:r w:rsidR="007F7C01">
              <w:rPr>
                <w:lang w:val="en-US"/>
              </w:rPr>
              <w:t xml:space="preserv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72914"/>
      <w:r>
        <w:rPr>
          <w:lang w:val="en-US"/>
        </w:rPr>
        <w:lastRenderedPageBreak/>
        <w:t>Population</w:t>
      </w:r>
      <w:bookmarkEnd w:id="29"/>
      <w:bookmarkEnd w:id="30"/>
      <w:bookmarkEnd w:id="35"/>
    </w:p>
    <w:p w14:paraId="2ECA5BF3" w14:textId="27B5845C" w:rsidR="00D76BF6"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5B65EB3D" w:rsidR="000B2087" w:rsidRDefault="00503BF3" w:rsidP="00503BF3">
      <w:pPr>
        <w:pStyle w:val="UOB-Headings"/>
        <w:rPr>
          <w:lang w:val="en-US"/>
        </w:rPr>
      </w:pPr>
      <w:bookmarkStart w:id="38" w:name="_Toc59172915"/>
      <w:r>
        <w:rPr>
          <w:lang w:val="en-US"/>
        </w:rPr>
        <w:t>Research Study Tools</w:t>
      </w:r>
      <w:bookmarkEnd w:id="36"/>
      <w:bookmarkEnd w:id="37"/>
      <w:bookmarkEnd w:id="38"/>
    </w:p>
    <w:p w14:paraId="0BA06CCC" w14:textId="5F53CDE5"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t>
      </w:r>
      <w:r w:rsidR="00D76BF6">
        <w:rPr>
          <w:lang w:val="en-US"/>
        </w:rPr>
        <w:t xml:space="preserve">the </w:t>
      </w:r>
      <w:r w:rsidR="009360E6">
        <w:rPr>
          <w:lang w:val="en-US"/>
        </w:rPr>
        <w:t xml:space="preserve">tools </w:t>
      </w:r>
      <w:r w:rsidR="00D76BF6">
        <w:rPr>
          <w:lang w:val="en-US"/>
        </w:rPr>
        <w:t xml:space="preserve">that </w:t>
      </w:r>
      <w:r w:rsidR="009360E6">
        <w:rPr>
          <w:lang w:val="en-US"/>
        </w:rPr>
        <w:t xml:space="preserve">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72916"/>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t>Hospital Beds per Thousand</w:t>
      </w:r>
      <w:r w:rsidR="00EB6C54">
        <w:rPr>
          <w:lang w:val="en-US"/>
        </w:rPr>
        <w:t xml:space="preserve"> – the </w:t>
      </w:r>
      <w:r w:rsidR="000C46D1">
        <w:rPr>
          <w:lang w:val="en-US"/>
        </w:rPr>
        <w:t>number of hospital beds per 1,000 people</w:t>
      </w:r>
    </w:p>
    <w:p w14:paraId="1E2004A7" w14:textId="2ADEFD38" w:rsidR="00352B43" w:rsidRDefault="00352B43" w:rsidP="009315C7">
      <w:pPr>
        <w:ind w:firstLine="576"/>
        <w:jc w:val="both"/>
        <w:rPr>
          <w:lang w:val="en-US"/>
        </w:rPr>
      </w:pPr>
      <w:r>
        <w:rPr>
          <w:lang w:val="en-US"/>
        </w:rPr>
        <w:lastRenderedPageBreak/>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w:t>
      </w:r>
      <w:r w:rsidR="006B47B6">
        <w:rPr>
          <w:lang w:val="en-US"/>
        </w:rPr>
        <w:t xml:space="preserve">the </w:t>
      </w:r>
      <w:r>
        <w:rPr>
          <w:lang w:val="en-US"/>
        </w:rPr>
        <w:t xml:space="preserve">statistical analysis </w:t>
      </w:r>
      <w:r w:rsidR="000F7D58">
        <w:rPr>
          <w:lang w:val="en-US"/>
        </w:rPr>
        <w:t>to</w:t>
      </w:r>
      <w:r>
        <w:rPr>
          <w:lang w:val="en-US"/>
        </w:rPr>
        <w:t xml:space="preserve"> produce factors related to </w:t>
      </w:r>
      <w:r w:rsidR="006B47B6">
        <w:rPr>
          <w:lang w:val="en-US"/>
        </w:rPr>
        <w:t xml:space="preserve">this </w:t>
      </w:r>
      <w:r>
        <w:rPr>
          <w:lang w:val="en-US"/>
        </w:rPr>
        <w:t>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7B2278B2"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72935"/>
      <w:r>
        <w:t>Table (</w:t>
      </w:r>
      <w:r w:rsidR="00F471F9">
        <w:fldChar w:fldCharType="begin"/>
      </w:r>
      <w:r w:rsidR="00F471F9">
        <w:instrText xml:space="preserve"> SEQ Table_( \* ARABIC </w:instrText>
      </w:r>
      <w:r w:rsidR="00F471F9">
        <w:fldChar w:fldCharType="separate"/>
      </w:r>
      <w:r w:rsidR="00B02D57">
        <w:rPr>
          <w:noProof/>
        </w:rPr>
        <w:t>2</w:t>
      </w:r>
      <w:r w:rsidR="00F471F9">
        <w:rPr>
          <w:noProof/>
        </w:rPr>
        <w:fldChar w:fldCharType="end"/>
      </w:r>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68326439" w14:textId="77777777" w:rsidR="006B47B6" w:rsidRPr="00D76BF6" w:rsidRDefault="006B47B6" w:rsidP="00AD578D">
      <w:pPr>
        <w:pStyle w:val="UOB-Body"/>
      </w:pPr>
    </w:p>
    <w:p w14:paraId="463A2351" w14:textId="1AC08EC9" w:rsidR="005F46B4" w:rsidRDefault="005F46B4" w:rsidP="005F46B4">
      <w:pPr>
        <w:pStyle w:val="UOB-Subheadings"/>
        <w:rPr>
          <w:lang w:val="en-US"/>
        </w:rPr>
      </w:pPr>
      <w:bookmarkStart w:id="45" w:name="_Toc59172917"/>
      <w:r>
        <w:rPr>
          <w:lang w:val="en-US"/>
        </w:rPr>
        <w:t>Other Study Tools</w:t>
      </w:r>
      <w:bookmarkEnd w:id="45"/>
    </w:p>
    <w:p w14:paraId="251E73AA" w14:textId="4448ABE9"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w:t>
      </w:r>
      <w:r w:rsidR="00BB33FD">
        <w:rPr>
          <w:lang w:val="en-US"/>
        </w:rPr>
        <w:t>, version 4.0.3,</w:t>
      </w:r>
      <w:r>
        <w:rPr>
          <w:lang w:val="en-US"/>
        </w:rPr>
        <w:t xml:space="preserve"> will be utilized.</w:t>
      </w:r>
    </w:p>
    <w:p w14:paraId="40A1C7D2" w14:textId="77777777" w:rsidR="006B47B6" w:rsidRDefault="006B47B6" w:rsidP="00AD578D">
      <w:pPr>
        <w:pStyle w:val="UOB-Body"/>
      </w:pPr>
    </w:p>
    <w:p w14:paraId="210C9FC5" w14:textId="1AA96507" w:rsidR="00503BF3" w:rsidRDefault="00503BF3" w:rsidP="00503BF3">
      <w:pPr>
        <w:pStyle w:val="UOB-Headings"/>
        <w:rPr>
          <w:lang w:val="en-US"/>
        </w:rPr>
      </w:pPr>
      <w:bookmarkStart w:id="46" w:name="_Toc59172918"/>
      <w:r>
        <w:rPr>
          <w:lang w:val="en-US"/>
        </w:rPr>
        <w:t>Data Collection and Procedures</w:t>
      </w:r>
      <w:bookmarkEnd w:id="39"/>
      <w:bookmarkEnd w:id="40"/>
      <w:bookmarkEnd w:id="46"/>
    </w:p>
    <w:p w14:paraId="042CEDC2" w14:textId="3A451C8D"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DD78E6" w:rsidRPr="00AD578D">
        <w:rPr>
          <w:lang w:val="en-US"/>
        </w:rPr>
        <w:t>extracted into CSV format and loaded into the data analysis tool</w:t>
      </w:r>
      <w:r w:rsidR="00DD78E6">
        <w:rPr>
          <w:lang w:val="en-US"/>
        </w:rPr>
        <w:t xml:space="preserve">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08651B14" w:rsidR="005B4523" w:rsidRDefault="00EE3DC3" w:rsidP="00C95C4B">
      <w:pPr>
        <w:keepNext/>
        <w:spacing w:line="276" w:lineRule="auto"/>
        <w:jc w:val="center"/>
      </w:pPr>
      <w:r w:rsidRPr="00EE3DC3">
        <w:rPr>
          <w:bCs w:val="0"/>
        </w:rPr>
        <w:lastRenderedPageBreak/>
        <w:t xml:space="preserve"> </w:t>
      </w:r>
      <w:r>
        <w:rPr>
          <w:bCs w:val="0"/>
          <w:noProof/>
        </w:rPr>
        <w:drawing>
          <wp:inline distT="0" distB="0" distL="0" distR="0" wp14:anchorId="30E4B327" wp14:editId="471AF83F">
            <wp:extent cx="3807511" cy="2160000"/>
            <wp:effectExtent l="19050" t="19050" r="2159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511" cy="2160000"/>
                    </a:xfrm>
                    <a:prstGeom prst="rect">
                      <a:avLst/>
                    </a:prstGeom>
                    <a:noFill/>
                    <a:ln>
                      <a:solidFill>
                        <a:schemeClr val="tx1"/>
                      </a:solidFill>
                    </a:ln>
                  </pic:spPr>
                </pic:pic>
              </a:graphicData>
            </a:graphic>
          </wp:inline>
        </w:drawing>
      </w:r>
    </w:p>
    <w:p w14:paraId="6AF48DD3" w14:textId="1DEB3AF4" w:rsidR="005B4523" w:rsidRPr="005B4523" w:rsidRDefault="005B4523" w:rsidP="0045085A">
      <w:pPr>
        <w:pStyle w:val="UOB-FigStyle"/>
        <w:rPr>
          <w:b w:val="0"/>
          <w:bCs/>
          <w:lang w:val="en-US"/>
        </w:rPr>
      </w:pPr>
      <w:bookmarkStart w:id="49" w:name="_Ref59079091"/>
      <w:bookmarkStart w:id="50" w:name="_Toc59172938"/>
      <w:r w:rsidRPr="00EE3DC3">
        <w:t xml:space="preserve">Fig. </w:t>
      </w:r>
      <w:r w:rsidR="00EE4636" w:rsidRPr="00EE3DC3">
        <w:fldChar w:fldCharType="begin"/>
      </w:r>
      <w:r w:rsidR="00EE4636" w:rsidRPr="00AD578D">
        <w:instrText xml:space="preserve"> SEQ Fig. \* ARABIC </w:instrText>
      </w:r>
      <w:r w:rsidR="00EE4636" w:rsidRPr="00EE3DC3">
        <w:fldChar w:fldCharType="separate"/>
      </w:r>
      <w:r w:rsidR="00C95C4B">
        <w:rPr>
          <w:noProof/>
        </w:rPr>
        <w:t>2</w:t>
      </w:r>
      <w:r w:rsidR="00EE4636" w:rsidRPr="00EE3DC3">
        <w:rPr>
          <w:noProof/>
        </w:rPr>
        <w:fldChar w:fldCharType="end"/>
      </w:r>
      <w:bookmarkEnd w:id="49"/>
      <w:r w:rsidRPr="00EE3DC3">
        <w:rPr>
          <w:lang w:val="en-US"/>
        </w:rPr>
        <w:t>:</w:t>
      </w:r>
      <w:r w:rsidRPr="00EE3DC3">
        <w:rPr>
          <w:b w:val="0"/>
          <w:bCs/>
          <w:lang w:val="en-US"/>
        </w:rPr>
        <w:t xml:space="preserve"> High-</w:t>
      </w:r>
      <w:r w:rsidR="00D3479C" w:rsidRPr="00EE3DC3">
        <w:rPr>
          <w:b w:val="0"/>
          <w:bCs/>
          <w:lang w:val="en-US"/>
        </w:rPr>
        <w:t>L</w:t>
      </w:r>
      <w:r w:rsidRPr="00EE3DC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72919"/>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72920"/>
      <w:r>
        <w:rPr>
          <w:lang w:val="en-US"/>
        </w:rPr>
        <w:t>COVID-19 Prediction Model</w:t>
      </w:r>
      <w:bookmarkEnd w:id="53"/>
    </w:p>
    <w:p w14:paraId="7E771C0A" w14:textId="00E16E0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 xml:space="preserve">The timeframe of </w:t>
      </w:r>
      <w:r w:rsidR="006B47B6">
        <w:rPr>
          <w:lang w:val="en-US"/>
        </w:rPr>
        <w:t xml:space="preserve">the </w:t>
      </w:r>
      <w:r>
        <w:rPr>
          <w:lang w:val="en-US"/>
        </w:rPr>
        <w:t xml:space="preserve">historical data will start from the first recorded case, </w:t>
      </w:r>
      <w:r w:rsidR="00EE3DC3">
        <w:rPr>
          <w:lang w:val="en-US"/>
        </w:rPr>
        <w:t xml:space="preserve">the </w:t>
      </w:r>
      <w:r w:rsidRPr="00EE3DC3">
        <w:rPr>
          <w:lang w:val="en-US"/>
        </w:rPr>
        <w:t>24</w:t>
      </w:r>
      <w:r w:rsidR="00EE3DC3" w:rsidRPr="00AD578D">
        <w:rPr>
          <w:vertAlign w:val="superscript"/>
          <w:lang w:val="en-US"/>
        </w:rPr>
        <w:t>th</w:t>
      </w:r>
      <w:r w:rsidR="00EE3DC3" w:rsidRPr="00AD578D">
        <w:rPr>
          <w:lang w:val="en-US"/>
        </w:rPr>
        <w:t xml:space="preserve"> of</w:t>
      </w:r>
      <w:r w:rsidRPr="00EE3DC3">
        <w:rPr>
          <w:lang w:val="en-US"/>
        </w:rPr>
        <w:t xml:space="preserve"> February 2020, until the 29</w:t>
      </w:r>
      <w:r w:rsidRPr="00EE3DC3">
        <w:rPr>
          <w:vertAlign w:val="superscript"/>
          <w:lang w:val="en-US"/>
        </w:rPr>
        <w:t>th</w:t>
      </w:r>
      <w:r w:rsidRPr="00EE3DC3">
        <w:rPr>
          <w:lang w:val="en-US"/>
        </w:rPr>
        <w:t xml:space="preserve"> of July 2020.</w:t>
      </w:r>
      <w:r w:rsidRPr="00AD578D">
        <w:rPr>
          <w:lang w:val="en-US"/>
        </w:rPr>
        <w:t xml:space="preserve"> </w:t>
      </w:r>
      <w:r w:rsidR="00A01D31" w:rsidRPr="00AD578D">
        <w:rPr>
          <w:lang w:val="en-US"/>
        </w:rPr>
        <w:t>This</w:t>
      </w:r>
      <w:r w:rsidRPr="00AD578D">
        <w:rPr>
          <w:lang w:val="en-US"/>
        </w:rPr>
        <w:t xml:space="preserve"> data</w:t>
      </w:r>
      <w:r w:rsidR="00A01D31" w:rsidRPr="00AD578D">
        <w:rPr>
          <w:lang w:val="en-US"/>
        </w:rPr>
        <w:t xml:space="preserve"> will be used a</w:t>
      </w:r>
      <w:r w:rsidRPr="00AD578D">
        <w:rPr>
          <w:lang w:val="en-US"/>
        </w:rPr>
        <w:t xml:space="preserve">s training data to generate a prediction model and then project the total number of cases for the next three months (90 days) – hence </w:t>
      </w:r>
      <w:r w:rsidR="00A01D31" w:rsidRPr="00AD578D">
        <w:rPr>
          <w:lang w:val="en-US"/>
        </w:rPr>
        <w:t xml:space="preserve">the </w:t>
      </w:r>
      <w:r w:rsidRPr="00AD578D">
        <w:rPr>
          <w:lang w:val="en-US"/>
        </w:rPr>
        <w:t>projection timeframe will start and include the 30</w:t>
      </w:r>
      <w:r w:rsidRPr="00AD578D">
        <w:rPr>
          <w:vertAlign w:val="superscript"/>
          <w:lang w:val="en-US"/>
        </w:rPr>
        <w:t>th</w:t>
      </w:r>
      <w:r w:rsidRPr="00AD578D">
        <w:rPr>
          <w:lang w:val="en-US"/>
        </w:rPr>
        <w:t xml:space="preserve"> of July 2020 until (and including) the 27</w:t>
      </w:r>
      <w:r w:rsidRPr="00AD578D">
        <w:rPr>
          <w:vertAlign w:val="superscript"/>
          <w:lang w:val="en-US"/>
        </w:rPr>
        <w:t>th</w:t>
      </w:r>
      <w:r w:rsidRPr="00AD578D">
        <w:rPr>
          <w:lang w:val="en-US"/>
        </w:rPr>
        <w:t xml:space="preserve"> of October 2020. The data will be </w:t>
      </w:r>
      <w:r w:rsidR="002F7A64" w:rsidRPr="00AD578D">
        <w:rPr>
          <w:lang w:val="en-US"/>
        </w:rPr>
        <w:t>sorted chronologically as time-</w:t>
      </w:r>
      <w:r w:rsidR="002F7A64">
        <w:rPr>
          <w:lang w:val="en-US"/>
        </w:rPr>
        <w:t xml:space="preserve">series data </w:t>
      </w:r>
      <w:r>
        <w:rPr>
          <w:lang w:val="en-US"/>
        </w:rPr>
        <w:t>and formatted into the following structure to generate the model:</w:t>
      </w:r>
    </w:p>
    <w:p w14:paraId="3A7B94C2" w14:textId="26385A74"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r w:rsidR="00A01D31">
        <w:rPr>
          <w:lang w:val="en-US"/>
        </w:rPr>
        <w:t>.</w:t>
      </w:r>
    </w:p>
    <w:p w14:paraId="3206AA53" w14:textId="5AF2CDC2"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r w:rsidR="00A01D31">
        <w:rPr>
          <w:lang w:val="en-US"/>
        </w:rPr>
        <w:t>.</w:t>
      </w:r>
    </w:p>
    <w:p w14:paraId="4C237167" w14:textId="2D179497" w:rsidR="002F7A64" w:rsidRDefault="002F7A64" w:rsidP="002F7A64">
      <w:pPr>
        <w:ind w:firstLine="576"/>
        <w:jc w:val="both"/>
        <w:rPr>
          <w:lang w:val="en-US"/>
        </w:rPr>
      </w:pPr>
      <w:r>
        <w:rPr>
          <w:lang w:val="en-US"/>
        </w:rPr>
        <w:t xml:space="preserve">After extraction and preparation of COVID-19 data, </w:t>
      </w:r>
      <w:r w:rsidR="00A01D31">
        <w:rPr>
          <w:lang w:val="en-US"/>
        </w:rPr>
        <w:t>the</w:t>
      </w:r>
      <w:r>
        <w:rPr>
          <w:lang w:val="en-US"/>
        </w:rPr>
        <w:t xml:space="preserve"> Logistic Growth Model</w:t>
      </w:r>
      <w:r w:rsidR="00A01D31">
        <w:rPr>
          <w:lang w:val="en-US"/>
        </w:rPr>
        <w:t xml:space="preserve"> will be used</w:t>
      </w:r>
      <w:r>
        <w:rPr>
          <w:lang w:val="en-US"/>
        </w:rPr>
        <w:t xml:space="preserve">, as defined in </w:t>
      </w:r>
      <w:r w:rsidR="00A01D31">
        <w:rPr>
          <w:lang w:val="en-US"/>
        </w:rPr>
        <w:t xml:space="preserve">the </w:t>
      </w:r>
      <w:r>
        <w:rPr>
          <w:lang w:val="en-US"/>
        </w:rPr>
        <w:t xml:space="preserve">scenario, to generate a </w:t>
      </w:r>
      <w:r>
        <w:rPr>
          <w:lang w:val="en-US"/>
        </w:rPr>
        <w:lastRenderedPageBreak/>
        <w:t>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262F31E1" w:rsidR="00C37E83" w:rsidRDefault="003B7EA0" w:rsidP="00C37E83">
      <w:pPr>
        <w:ind w:firstLine="576"/>
        <w:jc w:val="both"/>
        <w:rPr>
          <w:lang w:val="en-US"/>
        </w:rPr>
      </w:pPr>
      <w:r>
        <w:rPr>
          <w:lang w:val="en-US"/>
        </w:rPr>
        <w:t xml:space="preserve">The Logistic Growth Model that </w:t>
      </w:r>
      <w:r w:rsidR="00EE3DC3">
        <w:rPr>
          <w:lang w:val="en-US"/>
        </w:rPr>
        <w:t xml:space="preserve">will be used </w:t>
      </w:r>
      <w:r>
        <w:rPr>
          <w:lang w:val="en-US"/>
        </w:rPr>
        <w:t xml:space="preserve">in </w:t>
      </w:r>
      <w:r w:rsidR="00A01D31">
        <w:rPr>
          <w:lang w:val="en-US"/>
        </w:rPr>
        <w:t xml:space="preserve">this </w:t>
      </w:r>
      <w:r>
        <w:rPr>
          <w:lang w:val="en-US"/>
        </w:rPr>
        <w:t>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72947"/>
      <w:r>
        <w:t xml:space="preserve">Equation </w:t>
      </w:r>
      <w:r w:rsidR="00F471F9">
        <w:fldChar w:fldCharType="begin"/>
      </w:r>
      <w:r w:rsidR="00F471F9">
        <w:instrText xml:space="preserve"> SEQ Equation \* ARABIC </w:instrText>
      </w:r>
      <w:r w:rsidR="00F471F9">
        <w:fldChar w:fldCharType="separate"/>
      </w:r>
      <w:r w:rsidR="00457EA0">
        <w:rPr>
          <w:noProof/>
        </w:rPr>
        <w:t>1</w:t>
      </w:r>
      <w:r w:rsidR="00F471F9">
        <w:rPr>
          <w:noProof/>
        </w:rPr>
        <w:fldChar w:fldCharType="end"/>
      </w:r>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72921"/>
      <w:r>
        <w:rPr>
          <w:lang w:val="en-US"/>
        </w:rPr>
        <w:t>Statistical Calculation of Study Factors</w:t>
      </w:r>
      <w:bookmarkEnd w:id="56"/>
    </w:p>
    <w:p w14:paraId="516A8927" w14:textId="437E0014" w:rsidR="009B1156" w:rsidRDefault="009B1156" w:rsidP="001E650A">
      <w:pPr>
        <w:ind w:firstLine="576"/>
        <w:jc w:val="both"/>
        <w:rPr>
          <w:lang w:val="en-US"/>
        </w:rPr>
      </w:pPr>
      <w:r>
        <w:rPr>
          <w:lang w:val="en-US"/>
        </w:rPr>
        <w:t xml:space="preserve">Several research factors are not publicly available for direct use and for this reason, </w:t>
      </w:r>
      <w:r w:rsidR="00A01D31">
        <w:rPr>
          <w:lang w:val="en-US"/>
        </w:rPr>
        <w:t>the</w:t>
      </w:r>
      <w:r>
        <w:rPr>
          <w:lang w:val="en-US"/>
        </w:rPr>
        <w:t xml:space="preserve"> statistical approaches </w:t>
      </w:r>
      <w:r w:rsidR="00A01D31">
        <w:rPr>
          <w:lang w:val="en-US"/>
        </w:rPr>
        <w:t xml:space="preserve">in this research </w:t>
      </w:r>
      <w:r w:rsidR="00EE3DC3">
        <w:rPr>
          <w:lang w:val="en-US"/>
        </w:rPr>
        <w:t>are</w:t>
      </w:r>
      <w:r w:rsidR="00A01D31">
        <w:rPr>
          <w:lang w:val="en-US"/>
        </w:rPr>
        <w:t xml:space="preserve"> </w:t>
      </w:r>
      <w:r w:rsidR="00C8697C" w:rsidRPr="00C8697C">
        <w:rPr>
          <w:lang w:val="en-US"/>
        </w:rPr>
        <w:t xml:space="preserve">devised </w:t>
      </w:r>
      <w:r>
        <w:rPr>
          <w:lang w:val="en-US"/>
        </w:rPr>
        <w:t>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t>Given that</w:t>
      </w:r>
      <w:r w:rsidR="001E650A">
        <w:rPr>
          <w:lang w:val="en-US"/>
        </w:rPr>
        <w:t xml:space="preserve"> the total number of hospital beds in the Kingdom of Bahrain could not be extracted from previous studies or reports, it will be </w:t>
      </w:r>
      <w:r w:rsidR="001E650A">
        <w:rPr>
          <w:lang w:val="en-US"/>
        </w:rPr>
        <w:lastRenderedPageBreak/>
        <w:t xml:space="preserve">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332789"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72948"/>
      <w:r>
        <w:t xml:space="preserve">Equation </w:t>
      </w:r>
      <w:r w:rsidR="00F471F9">
        <w:fldChar w:fldCharType="begin"/>
      </w:r>
      <w:r w:rsidR="00F471F9">
        <w:instrText xml:space="preserve"> SEQ Equation \* ARABIC </w:instrText>
      </w:r>
      <w:r w:rsidR="00F471F9">
        <w:fldChar w:fldCharType="separate"/>
      </w:r>
      <w:r w:rsidR="00457EA0">
        <w:rPr>
          <w:noProof/>
        </w:rPr>
        <w:t>2</w:t>
      </w:r>
      <w:r w:rsidR="00F471F9">
        <w:rPr>
          <w:noProof/>
        </w:rPr>
        <w:fldChar w:fldCharType="end"/>
      </w:r>
      <w:bookmarkEnd w:id="57"/>
      <w:r>
        <w:t>:</w:t>
      </w:r>
      <w:r w:rsidRPr="00B31F7B">
        <w:rPr>
          <w:b w:val="0"/>
          <w:bCs/>
        </w:rPr>
        <w:t xml:space="preserve"> Calculation of Total Hospital Beds</w:t>
      </w:r>
      <w:bookmarkEnd w:id="58"/>
    </w:p>
    <w:p w14:paraId="429BCC98" w14:textId="061B5D4C"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r w:rsidR="00C8697C">
        <w:rPr>
          <w:lang w:val="en-US"/>
        </w:rPr>
        <w:t xml:space="preserve"> </w:t>
      </w:r>
      <w:r w:rsidR="00EE3DC3">
        <w:rPr>
          <w:lang w:val="en-US"/>
        </w:rPr>
        <w:t xml:space="preserve">that </w:t>
      </w:r>
      <w:r w:rsidR="00BB70A6">
        <w:rPr>
          <w:lang w:val="en-US"/>
        </w:rPr>
        <w:t xml:space="preserve">can actually be utilized </w:t>
      </w:r>
      <w:r w:rsidR="001B681C">
        <w:rPr>
          <w:lang w:val="en-US"/>
        </w:rPr>
        <w:t xml:space="preserve">in the treatment of </w:t>
      </w:r>
      <w:r w:rsidR="00BB70A6">
        <w:rPr>
          <w:lang w:val="en-US"/>
        </w:rPr>
        <w:t>COVID-19 cases</w:t>
      </w:r>
      <w:r w:rsidR="00EE3DC3">
        <w:rPr>
          <w:lang w:val="en-US"/>
        </w:rPr>
        <w:t>, will be calculated</w:t>
      </w:r>
      <w:r w:rsidR="00BB70A6">
        <w:rPr>
          <w:lang w:val="en-US"/>
        </w:rPr>
        <w:t xml:space="preserve">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332789"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Ref59147809"/>
      <w:bookmarkStart w:id="61" w:name="_Toc59172949"/>
      <w:r>
        <w:t xml:space="preserve">Equation </w:t>
      </w:r>
      <w:r w:rsidR="00F471F9">
        <w:fldChar w:fldCharType="begin"/>
      </w:r>
      <w:r w:rsidR="00F471F9">
        <w:instrText xml:space="preserve"> SEQ Equation \* ARABIC </w:instrText>
      </w:r>
      <w:r w:rsidR="00F471F9">
        <w:fldChar w:fldCharType="separate"/>
      </w:r>
      <w:r w:rsidR="00457EA0">
        <w:rPr>
          <w:noProof/>
        </w:rPr>
        <w:t>3</w:t>
      </w:r>
      <w:r w:rsidR="00F471F9">
        <w:rPr>
          <w:noProof/>
        </w:rPr>
        <w:fldChar w:fldCharType="end"/>
      </w:r>
      <w:bookmarkEnd w:id="59"/>
      <w:r>
        <w:t>:</w:t>
      </w:r>
      <w:r w:rsidRPr="00DA61E3">
        <w:rPr>
          <w:b w:val="0"/>
          <w:bCs/>
        </w:rPr>
        <w:t xml:space="preserve"> Calculation of Available Hospital Beds</w:t>
      </w:r>
      <w:bookmarkEnd w:id="60"/>
      <w:bookmarkEnd w:id="61"/>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332789"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2" w:name="_Ref59126380"/>
      <w:bookmarkStart w:id="63" w:name="_Toc59172950"/>
      <w:r>
        <w:t xml:space="preserve">Equation </w:t>
      </w:r>
      <w:r w:rsidR="00F471F9">
        <w:fldChar w:fldCharType="begin"/>
      </w:r>
      <w:r w:rsidR="00F471F9">
        <w:instrText xml:space="preserve"> SEQ Equation \* ARABIC </w:instrText>
      </w:r>
      <w:r w:rsidR="00F471F9">
        <w:fldChar w:fldCharType="separate"/>
      </w:r>
      <w:r w:rsidR="00457EA0">
        <w:rPr>
          <w:noProof/>
        </w:rPr>
        <w:t>4</w:t>
      </w:r>
      <w:r w:rsidR="00F471F9">
        <w:rPr>
          <w:noProof/>
        </w:rPr>
        <w:fldChar w:fldCharType="end"/>
      </w:r>
      <w:bookmarkEnd w:id="62"/>
      <w:r>
        <w:t>:</w:t>
      </w:r>
      <w:r w:rsidRPr="00D327A2">
        <w:rPr>
          <w:b w:val="0"/>
          <w:bCs/>
        </w:rPr>
        <w:t xml:space="preserve"> Calculation of Total IQC Beds</w:t>
      </w:r>
      <w:bookmarkEnd w:id="63"/>
    </w:p>
    <w:p w14:paraId="6A60741E" w14:textId="77777777" w:rsidR="00EE3DC3" w:rsidRDefault="00EE3DC3">
      <w:pPr>
        <w:spacing w:after="160" w:line="259" w:lineRule="auto"/>
        <w:rPr>
          <w:lang w:val="en-US"/>
        </w:rPr>
      </w:pPr>
      <w:r>
        <w:rPr>
          <w:lang w:val="en-US"/>
        </w:rPr>
        <w:br w:type="page"/>
      </w:r>
    </w:p>
    <w:p w14:paraId="00053906" w14:textId="1C1846CA"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332789"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4" w:name="_Ref59126509"/>
      <w:bookmarkStart w:id="65" w:name="_Toc59172951"/>
      <w:r>
        <w:t xml:space="preserve">Equation </w:t>
      </w:r>
      <w:r w:rsidR="00F471F9">
        <w:fldChar w:fldCharType="begin"/>
      </w:r>
      <w:r w:rsidR="00F471F9">
        <w:instrText xml:space="preserve"> SEQ Equation \* ARABIC </w:instrText>
      </w:r>
      <w:r w:rsidR="00F471F9">
        <w:fldChar w:fldCharType="separate"/>
      </w:r>
      <w:r w:rsidR="00457EA0">
        <w:rPr>
          <w:noProof/>
        </w:rPr>
        <w:t>5</w:t>
      </w:r>
      <w:r w:rsidR="00F471F9">
        <w:rPr>
          <w:noProof/>
        </w:rPr>
        <w:fldChar w:fldCharType="end"/>
      </w:r>
      <w:bookmarkEnd w:id="64"/>
      <w:r>
        <w:t>:</w:t>
      </w:r>
      <w:r w:rsidRPr="00725032">
        <w:rPr>
          <w:b w:val="0"/>
          <w:bCs/>
        </w:rPr>
        <w:t xml:space="preserve"> Calculation of IQC BOR</w:t>
      </w:r>
      <w:bookmarkEnd w:id="65"/>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332789"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318B760A" w:rsidR="00AD11A8" w:rsidRPr="00DA61E3" w:rsidRDefault="00AD11A8" w:rsidP="00AD11A8">
      <w:pPr>
        <w:pStyle w:val="UOB-FigStyle"/>
        <w:rPr>
          <w:b w:val="0"/>
          <w:bCs/>
          <w:lang w:val="en-US"/>
        </w:rPr>
      </w:pPr>
      <w:bookmarkStart w:id="66" w:name="_Ref59128894"/>
      <w:bookmarkStart w:id="67" w:name="_Toc59172952"/>
      <w:r>
        <w:t xml:space="preserve">Equation </w:t>
      </w:r>
      <w:r w:rsidR="00F471F9">
        <w:fldChar w:fldCharType="begin"/>
      </w:r>
      <w:r w:rsidR="00F471F9">
        <w:instrText xml:space="preserve"> SEQ Equation \* ARABIC </w:instrText>
      </w:r>
      <w:r w:rsidR="00F471F9">
        <w:fldChar w:fldCharType="separate"/>
      </w:r>
      <w:r w:rsidR="00457EA0">
        <w:rPr>
          <w:noProof/>
        </w:rPr>
        <w:t>6</w:t>
      </w:r>
      <w:r w:rsidR="00F471F9">
        <w:rPr>
          <w:noProof/>
        </w:rPr>
        <w:fldChar w:fldCharType="end"/>
      </w:r>
      <w:bookmarkEnd w:id="66"/>
      <w:r>
        <w:t>:</w:t>
      </w:r>
      <w:r w:rsidRPr="00DA61E3">
        <w:rPr>
          <w:b w:val="0"/>
          <w:bCs/>
        </w:rPr>
        <w:t xml:space="preserve"> Calculation of Available </w:t>
      </w:r>
      <w:r w:rsidR="008056EE">
        <w:rPr>
          <w:b w:val="0"/>
          <w:bCs/>
        </w:rPr>
        <w:t>IQC</w:t>
      </w:r>
      <w:r w:rsidRPr="00DA61E3">
        <w:rPr>
          <w:b w:val="0"/>
          <w:bCs/>
        </w:rPr>
        <w:t xml:space="preserve"> Beds</w:t>
      </w:r>
      <w:bookmarkEnd w:id="67"/>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332789"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8" w:name="_Ref59129453"/>
      <w:bookmarkStart w:id="69" w:name="_Toc59172953"/>
      <w:r>
        <w:t xml:space="preserve">Equation </w:t>
      </w:r>
      <w:r w:rsidR="00F471F9">
        <w:fldChar w:fldCharType="begin"/>
      </w:r>
      <w:r w:rsidR="00F471F9">
        <w:instrText xml:space="preserve"> SEQ Equation \* ARABIC </w:instrText>
      </w:r>
      <w:r w:rsidR="00F471F9">
        <w:fldChar w:fldCharType="separate"/>
      </w:r>
      <w:r w:rsidR="00EB3FE1">
        <w:rPr>
          <w:noProof/>
        </w:rPr>
        <w:t>7</w:t>
      </w:r>
      <w:r w:rsidR="00F471F9">
        <w:rPr>
          <w:noProof/>
        </w:rPr>
        <w:fldChar w:fldCharType="end"/>
      </w:r>
      <w:bookmarkEnd w:id="68"/>
      <w:r>
        <w:t>:</w:t>
      </w:r>
      <w:r w:rsidRPr="00457EA0">
        <w:rPr>
          <w:b w:val="0"/>
          <w:bCs/>
        </w:rPr>
        <w:t xml:space="preserve"> Calculation of Total Available Beds</w:t>
      </w:r>
      <w:bookmarkEnd w:id="69"/>
    </w:p>
    <w:p w14:paraId="57FBABB9" w14:textId="30A6D902" w:rsidR="001E650A" w:rsidRDefault="00EE3DC3" w:rsidP="001E650A">
      <w:pPr>
        <w:ind w:firstLine="720"/>
        <w:jc w:val="both"/>
        <w:rPr>
          <w:lang w:val="en-US"/>
        </w:rPr>
      </w:pPr>
      <w:r>
        <w:rPr>
          <w:lang w:val="en-US"/>
        </w:rPr>
        <w:t xml:space="preserve">As of the </w:t>
      </w:r>
      <w:r w:rsidR="00D33C27" w:rsidRPr="00E8251E">
        <w:rPr>
          <w:lang w:val="en-US"/>
        </w:rPr>
        <w:t>1</w:t>
      </w:r>
      <w:r w:rsidR="00D33C27" w:rsidRPr="00E8251E">
        <w:rPr>
          <w:vertAlign w:val="superscript"/>
          <w:lang w:val="en-US"/>
        </w:rPr>
        <w:t>st</w:t>
      </w:r>
      <w:r w:rsidR="00D33C27" w:rsidRPr="00E8251E">
        <w:rPr>
          <w:lang w:val="en-US"/>
        </w:rPr>
        <w:t xml:space="preserve"> of August 2020</w:t>
      </w:r>
      <w:r w:rsidR="00D33C27">
        <w:rPr>
          <w:lang w:val="en-US"/>
        </w:rPr>
        <w:t>,</w:t>
      </w:r>
      <w:r w:rsidR="001E650A">
        <w:rPr>
          <w:lang w:val="en-US"/>
        </w:rPr>
        <w:t xml:space="preserve"> </w:t>
      </w:r>
      <w:r>
        <w:rPr>
          <w:lang w:val="en-US"/>
        </w:rPr>
        <w:t xml:space="preserve">the current </w:t>
      </w:r>
      <w:r w:rsidR="001E650A">
        <w:rPr>
          <w:lang w:val="en-US"/>
        </w:rPr>
        <w:t>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w:t>
      </w:r>
      <w:r w:rsidR="00C8697C">
        <w:rPr>
          <w:lang w:val="en-US"/>
        </w:rPr>
        <w:t xml:space="preserve">will be extracted </w:t>
      </w:r>
      <w:r w:rsidR="001E650A">
        <w:rPr>
          <w:lang w:val="en-US"/>
        </w:rPr>
        <w:t xml:space="preserve">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70" w:name="_Ref59126987"/>
      <w:bookmarkStart w:id="71" w:name="_Toc59172954"/>
      <w:r>
        <w:t xml:space="preserve">Equation </w:t>
      </w:r>
      <w:r w:rsidR="00F471F9">
        <w:fldChar w:fldCharType="begin"/>
      </w:r>
      <w:r w:rsidR="00F471F9">
        <w:instrText xml:space="preserve"> SEQ Equation \* ARABIC </w:instrText>
      </w:r>
      <w:r w:rsidR="00F471F9">
        <w:fldChar w:fldCharType="separate"/>
      </w:r>
      <w:r w:rsidR="00EB3FE1">
        <w:rPr>
          <w:noProof/>
        </w:rPr>
        <w:t>8</w:t>
      </w:r>
      <w:r w:rsidR="00F471F9">
        <w:rPr>
          <w:noProof/>
        </w:rPr>
        <w:fldChar w:fldCharType="end"/>
      </w:r>
      <w:bookmarkEnd w:id="70"/>
      <w:r>
        <w:t>:</w:t>
      </w:r>
      <w:r w:rsidRPr="00361D8C">
        <w:rPr>
          <w:b w:val="0"/>
          <w:bCs/>
        </w:rPr>
        <w:t xml:space="preserve"> Calculation of Current Hospitalization Rate</w:t>
      </w:r>
      <w:bookmarkEnd w:id="71"/>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2" w:name="_Ref59127205"/>
      <w:bookmarkStart w:id="73" w:name="_Toc59172955"/>
      <w:r>
        <w:t xml:space="preserve">Equation </w:t>
      </w:r>
      <w:r w:rsidR="00F471F9">
        <w:fldChar w:fldCharType="begin"/>
      </w:r>
      <w:r w:rsidR="00F471F9">
        <w:instrText xml:space="preserve"> SEQ Equation \* ARABIC </w:instrText>
      </w:r>
      <w:r w:rsidR="00F471F9">
        <w:fldChar w:fldCharType="separate"/>
      </w:r>
      <w:r w:rsidR="00EB3FE1">
        <w:rPr>
          <w:noProof/>
        </w:rPr>
        <w:t>9</w:t>
      </w:r>
      <w:r w:rsidR="00F471F9">
        <w:rPr>
          <w:noProof/>
        </w:rPr>
        <w:fldChar w:fldCharType="end"/>
      </w:r>
      <w:bookmarkEnd w:id="72"/>
      <w:r>
        <w:t>:</w:t>
      </w:r>
      <w:r w:rsidRPr="0048662B">
        <w:rPr>
          <w:b w:val="0"/>
          <w:bCs/>
        </w:rPr>
        <w:t xml:space="preserve"> Calculation of Projected Hospitalized Cases</w:t>
      </w:r>
      <w:bookmarkEnd w:id="73"/>
    </w:p>
    <w:p w14:paraId="09705D5F" w14:textId="217ED448" w:rsidR="00FB5273" w:rsidRDefault="00FB5273" w:rsidP="00713190">
      <w:pPr>
        <w:ind w:firstLine="720"/>
        <w:jc w:val="both"/>
        <w:rPr>
          <w:lang w:val="en-US"/>
        </w:rPr>
      </w:pPr>
      <w:r>
        <w:rPr>
          <w:lang w:val="en-US"/>
        </w:rPr>
        <w:lastRenderedPageBreak/>
        <w:t>The figure</w:t>
      </w:r>
      <w:r w:rsidR="00EE3DC3">
        <w:rPr>
          <w:lang w:val="en-US"/>
        </w:rPr>
        <w:t xml:space="preserve"> below</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illustrates the detailed </w:t>
      </w:r>
      <w:r w:rsidR="0047710C">
        <w:rPr>
          <w:lang w:val="en-US"/>
        </w:rPr>
        <w:t xml:space="preserve">process flow diagram of </w:t>
      </w:r>
      <w:r w:rsidR="00C8697C">
        <w:rPr>
          <w:lang w:val="en-US"/>
        </w:rPr>
        <w:t xml:space="preserve">the </w:t>
      </w:r>
      <w:r>
        <w:rPr>
          <w:lang w:val="en-US"/>
        </w:rPr>
        <w:t xml:space="preserve">statistical analysis approach that was adopted in </w:t>
      </w:r>
      <w:r w:rsidR="00C8697C">
        <w:rPr>
          <w:lang w:val="en-US"/>
        </w:rPr>
        <w:t xml:space="preserve">this </w:t>
      </w:r>
      <w:r>
        <w:rPr>
          <w:lang w:val="en-US"/>
        </w:rPr>
        <w:t>research.</w:t>
      </w:r>
    </w:p>
    <w:p w14:paraId="085D96D7" w14:textId="1F8D29AF" w:rsidR="00FB5273" w:rsidRDefault="00713190" w:rsidP="00C95C4B">
      <w:pPr>
        <w:spacing w:line="276" w:lineRule="auto"/>
        <w:rPr>
          <w:lang w:val="en-US"/>
        </w:rPr>
      </w:pPr>
      <w:r>
        <w:rPr>
          <w:bCs w:val="0"/>
          <w:noProof/>
          <w:lang w:val="en-US"/>
        </w:rPr>
        <w:drawing>
          <wp:inline distT="0" distB="0" distL="0" distR="0" wp14:anchorId="77E0C429" wp14:editId="1A755142">
            <wp:extent cx="5274310" cy="3418205"/>
            <wp:effectExtent l="19050" t="19050" r="2159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solidFill>
                        <a:schemeClr val="tx1"/>
                      </a:solidFill>
                    </a:ln>
                  </pic:spPr>
                </pic:pic>
              </a:graphicData>
            </a:graphic>
          </wp:inline>
        </w:drawing>
      </w:r>
    </w:p>
    <w:p w14:paraId="0584EB14" w14:textId="1577AE8A" w:rsidR="00713190" w:rsidRPr="00713190" w:rsidRDefault="00713190" w:rsidP="00713190">
      <w:pPr>
        <w:pStyle w:val="UOB-FigStyle"/>
        <w:rPr>
          <w:b w:val="0"/>
          <w:bCs/>
          <w:lang w:val="en-US"/>
        </w:rPr>
      </w:pPr>
      <w:bookmarkStart w:id="74" w:name="_Ref59130046"/>
      <w:bookmarkStart w:id="75" w:name="_Toc59172939"/>
      <w:r>
        <w:t xml:space="preserve">Fig. </w:t>
      </w:r>
      <w:r w:rsidR="00F471F9">
        <w:fldChar w:fldCharType="begin"/>
      </w:r>
      <w:r w:rsidR="00F471F9">
        <w:instrText xml:space="preserve"> SEQ Fig. \* ARABIC </w:instrText>
      </w:r>
      <w:r w:rsidR="00F471F9">
        <w:fldChar w:fldCharType="separate"/>
      </w:r>
      <w:r w:rsidR="00C95C4B">
        <w:rPr>
          <w:noProof/>
        </w:rPr>
        <w:t>3</w:t>
      </w:r>
      <w:r w:rsidR="00F471F9">
        <w:rPr>
          <w:noProof/>
        </w:rPr>
        <w:fldChar w:fldCharType="end"/>
      </w:r>
      <w:bookmarkEnd w:id="74"/>
      <w:r>
        <w:t>:</w:t>
      </w:r>
      <w:r w:rsidRPr="00713190">
        <w:rPr>
          <w:b w:val="0"/>
          <w:bCs/>
        </w:rPr>
        <w:t xml:space="preserve"> Detailed Statistical Analysis Process Flow Diagram</w:t>
      </w:r>
      <w:bookmarkEnd w:id="75"/>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6" w:name="_Toc59172922"/>
      <w:r w:rsidRPr="00052BC9">
        <w:t xml:space="preserve">Chapter </w:t>
      </w:r>
      <w:r>
        <w:t>Four</w:t>
      </w:r>
      <w:bookmarkEnd w:id="76"/>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7" w:name="_Ref58688220"/>
      <w:bookmarkStart w:id="78" w:name="_Toc59172923"/>
      <w:r>
        <w:rPr>
          <w:lang w:val="en-US"/>
        </w:rPr>
        <w:t>Results</w:t>
      </w:r>
      <w:bookmarkEnd w:id="77"/>
      <w:bookmarkEnd w:id="78"/>
    </w:p>
    <w:p w14:paraId="1C063541" w14:textId="36B1EB8D"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r w:rsidR="00A75B2C">
        <w:rPr>
          <w:rFonts w:asciiTheme="majorBidi" w:hAnsiTheme="majorBidi" w:cstheme="majorBidi"/>
          <w:lang w:val="en-US"/>
        </w:rPr>
        <w:t>, in response to the COVID-19 epidemic.</w:t>
      </w:r>
    </w:p>
    <w:p w14:paraId="2ED0D412" w14:textId="5FE8496E" w:rsidR="00A847A5" w:rsidRDefault="00EF7828" w:rsidP="00365A17">
      <w:pPr>
        <w:pStyle w:val="UOB-Subheadings"/>
        <w:rPr>
          <w:lang w:val="en-US"/>
        </w:rPr>
      </w:pPr>
      <w:bookmarkStart w:id="79" w:name="_Toc59172924"/>
      <w:r>
        <w:rPr>
          <w:lang w:val="en-US"/>
        </w:rPr>
        <w:t>Initial</w:t>
      </w:r>
      <w:r w:rsidR="00ED592F">
        <w:rPr>
          <w:lang w:val="en-US"/>
        </w:rPr>
        <w:t xml:space="preserve"> Data</w:t>
      </w:r>
      <w:r>
        <w:rPr>
          <w:lang w:val="en-US"/>
        </w:rPr>
        <w:t xml:space="preserve"> Observation</w:t>
      </w:r>
      <w:r w:rsidR="00CD55B7">
        <w:rPr>
          <w:lang w:val="en-US"/>
        </w:rPr>
        <w:t>s</w:t>
      </w:r>
      <w:bookmarkEnd w:id="79"/>
    </w:p>
    <w:p w14:paraId="772D9053" w14:textId="6DAFB327"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on</w:t>
      </w:r>
      <w:r w:rsidR="00EE3DC3">
        <w:rPr>
          <w:lang w:val="en-US"/>
        </w:rPr>
        <w:t xml:space="preserve"> the </w:t>
      </w:r>
      <w:r>
        <w:rPr>
          <w:lang w:val="en-US"/>
        </w:rPr>
        <w:t>24</w:t>
      </w:r>
      <w:r w:rsidR="00EE3DC3" w:rsidRPr="00AD578D">
        <w:rPr>
          <w:vertAlign w:val="superscript"/>
          <w:lang w:val="en-US"/>
        </w:rPr>
        <w:t>th</w:t>
      </w:r>
      <w:r w:rsidR="00EE3DC3">
        <w:rPr>
          <w:lang w:val="en-US"/>
        </w:rPr>
        <w:t xml:space="preserve"> of February</w:t>
      </w:r>
      <w:r>
        <w:rPr>
          <w:lang w:val="en-US"/>
        </w:rPr>
        <w:t xml:space="preserve">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sidR="00EE3DC3">
        <w:rPr>
          <w:lang w:val="en-US"/>
        </w:rPr>
        <w:t>the 29</w:t>
      </w:r>
      <w:r w:rsidR="00EE3DC3" w:rsidRPr="00AD578D">
        <w:rPr>
          <w:vertAlign w:val="superscript"/>
          <w:lang w:val="en-US"/>
        </w:rPr>
        <w:t>th</w:t>
      </w:r>
      <w:r w:rsidR="00EE3DC3">
        <w:rPr>
          <w:lang w:val="en-US"/>
        </w:rPr>
        <w:t xml:space="preserve"> of July </w:t>
      </w:r>
      <w:r>
        <w:rPr>
          <w:lang w:val="en-US"/>
        </w:rPr>
        <w:t>2020</w:t>
      </w:r>
      <w:r w:rsidR="00E77638">
        <w:rPr>
          <w:lang w:val="en-US"/>
        </w:rPr>
        <w:t xml:space="preserve"> (</w:t>
      </w:r>
      <w:r w:rsidR="00EE3DC3">
        <w:rPr>
          <w:lang w:val="en-US"/>
        </w:rPr>
        <w:t xml:space="preserve">a timeframe of </w:t>
      </w:r>
      <w:r w:rsidR="00E77638">
        <w:rPr>
          <w:lang w:val="en-US"/>
        </w:rPr>
        <w:t>156 days)</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w:t>
      </w:r>
      <w:r w:rsidR="00A46E1A">
        <w:rPr>
          <w:lang w:val="en-US"/>
        </w:rPr>
        <w:t>the 17</w:t>
      </w:r>
      <w:r w:rsidR="00A46E1A" w:rsidRPr="00AD578D">
        <w:rPr>
          <w:vertAlign w:val="superscript"/>
          <w:lang w:val="en-US"/>
        </w:rPr>
        <w:t>th</w:t>
      </w:r>
      <w:r w:rsidR="00A46E1A">
        <w:rPr>
          <w:lang w:val="en-US"/>
        </w:rPr>
        <w:t xml:space="preserve"> of </w:t>
      </w:r>
      <w:r w:rsidR="00EF2B2A">
        <w:rPr>
          <w:lang w:val="en-US"/>
        </w:rPr>
        <w:t>Ma</w:t>
      </w:r>
      <w:r w:rsidR="005B5BC7">
        <w:rPr>
          <w:lang w:val="en-US"/>
        </w:rPr>
        <w:t>r</w:t>
      </w:r>
      <w:r w:rsidR="00A46E1A">
        <w:rPr>
          <w:lang w:val="en-US"/>
        </w:rPr>
        <w:t xml:space="preserve">ch </w:t>
      </w:r>
      <w:r w:rsidR="00EF2B2A">
        <w:rPr>
          <w:lang w:val="en-US"/>
        </w:rPr>
        <w:t>2020</w:t>
      </w:r>
      <w:r w:rsidR="00C65B34">
        <w:rPr>
          <w:lang w:val="en-US"/>
        </w:rPr>
        <w:t xml:space="preserve">, </w:t>
      </w:r>
      <w:r w:rsidR="00EF2B2A">
        <w:rPr>
          <w:lang w:val="en-US"/>
        </w:rPr>
        <w:t>the total deaths by end of the studied period was 141.</w:t>
      </w:r>
    </w:p>
    <w:p w14:paraId="3C971119" w14:textId="4CB9749A"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w:t>
      </w:r>
      <w:r w:rsidR="00A46E1A">
        <w:rPr>
          <w:lang w:val="en-US"/>
        </w:rPr>
        <w:t>the 29</w:t>
      </w:r>
      <w:r w:rsidR="00A46E1A" w:rsidRPr="00AD578D">
        <w:rPr>
          <w:vertAlign w:val="superscript"/>
          <w:lang w:val="en-US"/>
        </w:rPr>
        <w:t>th</w:t>
      </w:r>
      <w:r w:rsidR="00A46E1A">
        <w:rPr>
          <w:lang w:val="en-US"/>
        </w:rPr>
        <w:t xml:space="preserve"> of </w:t>
      </w:r>
      <w:r w:rsidR="00A4282E">
        <w:rPr>
          <w:lang w:val="en-US"/>
        </w:rPr>
        <w:t>July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w:t>
      </w:r>
      <w:r w:rsidR="00B77FAD">
        <w:rPr>
          <w:lang w:val="en-US"/>
        </w:rPr>
        <w:t xml:space="preserve"> </w:t>
      </w:r>
      <w:r w:rsidR="00F078A8">
        <w:rPr>
          <w:lang w:val="en-US"/>
        </w:rPr>
        <w:t xml:space="preserve">to be growing </w:t>
      </w:r>
      <w:r w:rsidR="00B77FAD">
        <w:rPr>
          <w:lang w:val="en-US"/>
        </w:rPr>
        <w:t xml:space="preserve">in a less </w:t>
      </w:r>
      <w:r w:rsidR="00F078A8">
        <w:rPr>
          <w:lang w:val="en-US"/>
        </w:rPr>
        <w:t>exponentially</w:t>
      </w:r>
      <w:r w:rsidR="00B77FAD">
        <w:rPr>
          <w:lang w:val="en-US"/>
        </w:rPr>
        <w:t xml:space="preserve"> manner</w:t>
      </w:r>
      <w:r w:rsidR="00083FFA">
        <w:rPr>
          <w:lang w:val="en-US"/>
        </w:rPr>
        <w:t>.</w:t>
      </w:r>
    </w:p>
    <w:p w14:paraId="0EA7E64E" w14:textId="15391B23" w:rsidR="00B66B1A" w:rsidRDefault="00D43767" w:rsidP="00C95C4B">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3587FF5" w:rsidR="00E77638" w:rsidRDefault="00B66B1A" w:rsidP="00EC6CEC">
      <w:pPr>
        <w:pStyle w:val="UOB-FigStyle"/>
        <w:rPr>
          <w:b w:val="0"/>
          <w:bCs/>
        </w:rPr>
      </w:pPr>
      <w:bookmarkStart w:id="80" w:name="_Ref59133422"/>
      <w:bookmarkStart w:id="81" w:name="_Toc59172940"/>
      <w:r>
        <w:t xml:space="preserve">Fig. </w:t>
      </w:r>
      <w:r w:rsidR="00F471F9">
        <w:fldChar w:fldCharType="begin"/>
      </w:r>
      <w:r w:rsidR="00F471F9">
        <w:instrText xml:space="preserve"> SEQ Fig. \* ARABIC </w:instrText>
      </w:r>
      <w:r w:rsidR="00F471F9">
        <w:fldChar w:fldCharType="separate"/>
      </w:r>
      <w:r w:rsidR="00C95C4B">
        <w:rPr>
          <w:noProof/>
        </w:rPr>
        <w:t>4</w:t>
      </w:r>
      <w:r w:rsidR="00F471F9">
        <w:rPr>
          <w:noProof/>
        </w:rPr>
        <w:fldChar w:fldCharType="end"/>
      </w:r>
      <w:bookmarkEnd w:id="80"/>
      <w:r>
        <w:t>:</w:t>
      </w:r>
      <w:r w:rsidRPr="00EC6CEC">
        <w:rPr>
          <w:b w:val="0"/>
          <w:bCs/>
        </w:rPr>
        <w:t xml:space="preserve"> Trend Observation Plots of COVID-19 Total Cases and Deaths</w:t>
      </w:r>
      <w:r w:rsidR="00381CD8">
        <w:rPr>
          <w:b w:val="0"/>
          <w:bCs/>
        </w:rPr>
        <w:t xml:space="preserve"> in Bahrain</w:t>
      </w:r>
      <w:bookmarkEnd w:id="81"/>
    </w:p>
    <w:p w14:paraId="7085A1BB" w14:textId="77777777" w:rsidR="004E17FE" w:rsidRPr="00EC6CEC" w:rsidRDefault="004E17FE" w:rsidP="004E17FE">
      <w:pPr>
        <w:pStyle w:val="UOB-Body"/>
      </w:pPr>
    </w:p>
    <w:p w14:paraId="42324C1C" w14:textId="15A66AA6" w:rsidR="00BB026C" w:rsidRDefault="00BB026C" w:rsidP="00BB026C">
      <w:pPr>
        <w:pStyle w:val="UOB-Subheadings"/>
        <w:rPr>
          <w:lang w:val="en-US"/>
        </w:rPr>
      </w:pPr>
      <w:bookmarkStart w:id="82" w:name="_Toc59172925"/>
      <w:r>
        <w:rPr>
          <w:lang w:val="en-US"/>
        </w:rPr>
        <w:t xml:space="preserve">Logistic Growth Model </w:t>
      </w:r>
      <w:r w:rsidR="002D7146">
        <w:rPr>
          <w:lang w:val="en-US"/>
        </w:rPr>
        <w:t>Predictions</w:t>
      </w:r>
      <w:bookmarkEnd w:id="82"/>
    </w:p>
    <w:p w14:paraId="6E377827" w14:textId="4FE44BD3" w:rsidR="00A86D5A" w:rsidRDefault="00A86D5A" w:rsidP="00A86D5A">
      <w:pPr>
        <w:ind w:firstLine="576"/>
        <w:jc w:val="both"/>
        <w:rPr>
          <w:rFonts w:asciiTheme="majorBidi" w:hAnsiTheme="majorBidi" w:cstheme="majorBidi"/>
          <w:lang w:val="en-US"/>
        </w:rPr>
      </w:pPr>
      <w:r>
        <w:rPr>
          <w:rFonts w:asciiTheme="majorBidi" w:hAnsiTheme="majorBidi" w:cstheme="majorBidi"/>
          <w:lang w:val="en-US"/>
        </w:rPr>
        <w:t xml:space="preserve">Based on the provided training data of total cases over the study timeframe (156 days), the best model generated by R can be presented by the substituting the estimated values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 xml:space="preserve">=47,408, </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=122,</m:t>
            </m:r>
            <m:r>
              <w:rPr>
                <w:rFonts w:ascii="Cambria Math" w:hAnsi="Cambria Math"/>
                <w:lang w:val="en-US"/>
              </w:rPr>
              <m:t>and</m:t>
            </m:r>
            <m:r>
              <m:rPr>
                <m:sty m:val="bi"/>
              </m:rPr>
              <w:rPr>
                <w:rFonts w:ascii="Cambria Math" w:hAnsi="Cambria Math"/>
                <w:lang w:val="en-US"/>
              </w:rPr>
              <m:t xml:space="preserve"> </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r>
              <m:rPr>
                <m:sty m:val="bi"/>
              </m:rPr>
              <w:rPr>
                <w:rFonts w:ascii="Cambria Math" w:hAnsi="Cambria Math"/>
                <w:lang w:val="en-US"/>
              </w:rPr>
              <m:t>=21</m:t>
            </m:r>
          </m:e>
        </m:d>
      </m:oMath>
      <w:r>
        <w:rPr>
          <w:rFonts w:asciiTheme="majorBidi" w:hAnsiTheme="majorBidi" w:cstheme="majorBidi"/>
          <w:lang w:val="en-US"/>
        </w:rPr>
        <w:t xml:space="preserve"> in the following equation</w:t>
      </w:r>
      <w:r w:rsidR="00083FFA">
        <w:rPr>
          <w:rFonts w:asciiTheme="majorBidi" w:hAnsiTheme="majorBidi" w:cstheme="majorBidi"/>
          <w:lang w:val="en-US"/>
        </w:rPr>
        <w:t xml:space="preserve"> where </w:t>
      </w:r>
      <m:oMath>
        <m:r>
          <m:rPr>
            <m:sty m:val="bi"/>
          </m:rPr>
          <w:rPr>
            <w:rFonts w:ascii="Cambria Math" w:hAnsi="Cambria Math"/>
            <w:lang w:val="en-US"/>
          </w:rPr>
          <m:t>Y</m:t>
        </m:r>
      </m:oMath>
      <w:r w:rsidR="00083FFA">
        <w:rPr>
          <w:rFonts w:asciiTheme="majorBidi" w:hAnsiTheme="majorBidi" w:cstheme="majorBidi"/>
          <w:lang w:val="en-US"/>
        </w:rPr>
        <w:t xml:space="preserve"> is the total number of cases, calculated as a function, for the given day </w:t>
      </w:r>
      <m:oMath>
        <m:r>
          <w:rPr>
            <w:rFonts w:ascii="Cambria Math" w:hAnsi="Cambria Math" w:cstheme="majorBidi"/>
            <w:lang w:val="en-US"/>
          </w:rPr>
          <m:t>(</m:t>
        </m:r>
        <m:r>
          <m:rPr>
            <m:sty m:val="bi"/>
          </m:rPr>
          <w:rPr>
            <w:rFonts w:ascii="Cambria Math" w:hAnsi="Cambria Math" w:cstheme="majorBidi"/>
            <w:lang w:val="en-US"/>
          </w:rPr>
          <m:t>t</m:t>
        </m:r>
        <m:r>
          <w:rPr>
            <w:rFonts w:ascii="Cambria Math" w:hAnsi="Cambria Math" w:cstheme="majorBidi"/>
            <w:lang w:val="en-US"/>
          </w:rPr>
          <m:t>)</m:t>
        </m:r>
      </m:oMath>
      <w:r w:rsidR="00083FFA">
        <w:rPr>
          <w:rFonts w:asciiTheme="majorBidi" w:hAnsiTheme="majorBidi" w:cstheme="majorBidi"/>
          <w:lang w:val="en-US"/>
        </w:rPr>
        <w:t xml:space="preserve"> </w:t>
      </w:r>
      <w:r w:rsidRPr="00E9226E">
        <w:rPr>
          <w:rFonts w:asciiTheme="majorBidi" w:hAnsiTheme="majorBidi" w:cstheme="majorBidi"/>
          <w:lang w:val="en-US"/>
        </w:rPr>
        <w:t>,</w:t>
      </w:r>
      <w:r w:rsidRPr="00444C31">
        <w:rPr>
          <w:rFonts w:asciiTheme="majorBidi" w:hAnsiTheme="majorBidi" w:cstheme="majorBidi"/>
          <w:b/>
          <w:bCs w:val="0"/>
          <w:lang w:val="en-US"/>
        </w:rPr>
        <w:t xml:space="preserve"> </w:t>
      </w:r>
      <w:r w:rsidRPr="00444C31">
        <w:rPr>
          <w:rFonts w:asciiTheme="majorBidi" w:hAnsiTheme="majorBidi" w:cstheme="majorBidi"/>
          <w:b/>
          <w:bCs w:val="0"/>
          <w:lang w:val="en-US"/>
        </w:rPr>
        <w:fldChar w:fldCharType="begin"/>
      </w:r>
      <w:r w:rsidRPr="00444C31">
        <w:rPr>
          <w:rFonts w:asciiTheme="majorBidi" w:hAnsiTheme="majorBidi" w:cstheme="majorBidi"/>
          <w:b/>
          <w:bCs w:val="0"/>
          <w:lang w:val="en-US"/>
        </w:rPr>
        <w:instrText xml:space="preserve"> REF _Ref59139290 \h </w:instrText>
      </w:r>
      <w:r>
        <w:rPr>
          <w:rFonts w:asciiTheme="majorBidi" w:hAnsiTheme="majorBidi" w:cstheme="majorBidi"/>
          <w:b/>
          <w:bCs w:val="0"/>
          <w:lang w:val="en-US"/>
        </w:rPr>
        <w:instrText xml:space="preserve"> \* MERGEFORMAT </w:instrText>
      </w:r>
      <w:r w:rsidRPr="00444C31">
        <w:rPr>
          <w:rFonts w:asciiTheme="majorBidi" w:hAnsiTheme="majorBidi" w:cstheme="majorBidi"/>
          <w:b/>
          <w:bCs w:val="0"/>
          <w:lang w:val="en-US"/>
        </w:rPr>
      </w:r>
      <w:r w:rsidRPr="00444C31">
        <w:rPr>
          <w:rFonts w:asciiTheme="majorBidi" w:hAnsiTheme="majorBidi" w:cstheme="majorBidi"/>
          <w:b/>
          <w:bCs w:val="0"/>
          <w:lang w:val="en-US"/>
        </w:rPr>
        <w:fldChar w:fldCharType="separate"/>
      </w:r>
      <w:r w:rsidRPr="00444C31">
        <w:rPr>
          <w:b/>
          <w:bCs w:val="0"/>
        </w:rPr>
        <w:t xml:space="preserve">Equation </w:t>
      </w:r>
      <w:r w:rsidRPr="00444C31">
        <w:rPr>
          <w:b/>
          <w:bCs w:val="0"/>
          <w:noProof/>
        </w:rPr>
        <w:t>10</w:t>
      </w:r>
      <w:r w:rsidRPr="00444C31">
        <w:rPr>
          <w:rFonts w:asciiTheme="majorBidi" w:hAnsiTheme="majorBidi" w:cstheme="majorBidi"/>
          <w:b/>
          <w:bCs w:val="0"/>
          <w:lang w:val="en-US"/>
        </w:rPr>
        <w:fldChar w:fldCharType="end"/>
      </w:r>
      <w:r>
        <w:rPr>
          <w:rFonts w:asciiTheme="majorBidi" w:hAnsiTheme="majorBidi" w:cstheme="majorBidi"/>
          <w:lang w:val="en-US"/>
        </w:rPr>
        <w:t>:</w:t>
      </w:r>
    </w:p>
    <w:p w14:paraId="610951DF" w14:textId="0D156CF8" w:rsidR="00A86D5A" w:rsidRPr="00BF0E1A" w:rsidRDefault="00A86D5A" w:rsidP="00A86D5A">
      <w:pPr>
        <w:jc w:val="both"/>
        <w:rPr>
          <w:rFonts w:asciiTheme="majorBidi" w:hAnsiTheme="majorBidi" w:cstheme="majorBidi"/>
          <w:lang w:val="en-US"/>
        </w:rPr>
      </w:pPr>
      <m:oMathPara>
        <m:oMath>
          <m:r>
            <w:rPr>
              <w:rFonts w:ascii="Cambria Math" w:hAnsi="Cambria Math"/>
              <w:lang w:val="en-US"/>
            </w:rPr>
            <m:t>Y=f(t)=</m:t>
          </m:r>
          <m:f>
            <m:fPr>
              <m:ctrlPr>
                <w:rPr>
                  <w:rFonts w:ascii="Cambria Math" w:hAnsi="Cambria Math"/>
                  <w:i/>
                  <w:lang w:val="en-US"/>
                </w:rPr>
              </m:ctrlPr>
            </m:fPr>
            <m:num>
              <m:r>
                <w:rPr>
                  <w:rFonts w:ascii="Cambria Math" w:hAnsi="Cambria Math"/>
                  <w:lang w:val="en-US"/>
                </w:rPr>
                <m:t>47,408</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t-122</m:t>
                          </m:r>
                        </m:num>
                        <m:den>
                          <m:r>
                            <w:rPr>
                              <w:rFonts w:ascii="Cambria Math" w:hAnsi="Cambria Math"/>
                              <w:lang w:val="en-US"/>
                            </w:rPr>
                            <m:t>21</m:t>
                          </m:r>
                        </m:den>
                      </m:f>
                    </m:e>
                  </m:d>
                </m:sup>
              </m:sSup>
            </m:den>
          </m:f>
          <m:r>
            <w:rPr>
              <w:rFonts w:ascii="Cambria Math" w:hAnsi="Cambria Math"/>
              <w:lang w:val="en-US"/>
            </w:rPr>
            <m:t xml:space="preserve"> ,</m:t>
          </m:r>
        </m:oMath>
      </m:oMathPara>
    </w:p>
    <w:p w14:paraId="3D96D2D2" w14:textId="77777777" w:rsidR="00A86D5A" w:rsidRPr="00BF0E1A" w:rsidRDefault="00A86D5A" w:rsidP="00A86D5A">
      <w:pPr>
        <w:pStyle w:val="UOB-FigStyle"/>
        <w:rPr>
          <w:rFonts w:asciiTheme="majorBidi" w:hAnsiTheme="majorBidi" w:cstheme="majorBidi"/>
          <w:b w:val="0"/>
          <w:bCs/>
          <w:lang w:val="en-US"/>
        </w:rPr>
      </w:pPr>
      <w:bookmarkStart w:id="83" w:name="_Ref59139290"/>
      <w:bookmarkStart w:id="84" w:name="_Toc59172956"/>
      <w:r>
        <w:t xml:space="preserve">Equation </w:t>
      </w:r>
      <w:r w:rsidR="00F471F9">
        <w:fldChar w:fldCharType="begin"/>
      </w:r>
      <w:r w:rsidR="00F471F9">
        <w:instrText xml:space="preserve"> SEQ Equation \* ARABIC </w:instrText>
      </w:r>
      <w:r w:rsidR="00F471F9">
        <w:fldChar w:fldCharType="separate"/>
      </w:r>
      <w:r>
        <w:rPr>
          <w:noProof/>
        </w:rPr>
        <w:t>10</w:t>
      </w:r>
      <w:r w:rsidR="00F471F9">
        <w:rPr>
          <w:noProof/>
        </w:rPr>
        <w:fldChar w:fldCharType="end"/>
      </w:r>
      <w:bookmarkEnd w:id="83"/>
      <w:r>
        <w:rPr>
          <w:lang w:val="en-US"/>
        </w:rPr>
        <w:t>:</w:t>
      </w:r>
      <w:r w:rsidRPr="00BF0E1A">
        <w:rPr>
          <w:b w:val="0"/>
          <w:bCs/>
          <w:lang w:val="en-US"/>
        </w:rPr>
        <w:t xml:space="preserve"> Logistic Growth Model - Fitted Model</w:t>
      </w:r>
      <w:bookmarkEnd w:id="84"/>
    </w:p>
    <w:p w14:paraId="5E2290F6" w14:textId="1B6FE429" w:rsidR="00A86D5A" w:rsidRDefault="007627B7" w:rsidP="008C4D3D">
      <w:pPr>
        <w:ind w:firstLine="576"/>
        <w:jc w:val="both"/>
        <w:rPr>
          <w:rFonts w:asciiTheme="majorBidi" w:hAnsiTheme="majorBidi" w:cstheme="majorBidi"/>
          <w:lang w:val="en-US"/>
        </w:rPr>
      </w:pPr>
      <w:r>
        <w:rPr>
          <w:rFonts w:asciiTheme="majorBidi" w:hAnsiTheme="majorBidi" w:cstheme="majorBidi"/>
          <w:lang w:val="en-US"/>
        </w:rPr>
        <w:t>With</w:t>
      </w:r>
      <w:r w:rsidR="00A86D5A">
        <w:rPr>
          <w:rFonts w:asciiTheme="majorBidi" w:hAnsiTheme="majorBidi" w:cstheme="majorBidi"/>
          <w:lang w:val="en-US"/>
        </w:rPr>
        <w:t xml:space="preserve"> the fitted </w:t>
      </w:r>
      <w:r w:rsidR="00C44C67">
        <w:rPr>
          <w:rFonts w:asciiTheme="majorBidi" w:hAnsiTheme="majorBidi" w:cstheme="majorBidi"/>
          <w:lang w:val="en-US"/>
        </w:rPr>
        <w:t xml:space="preserve">logistic growth </w:t>
      </w:r>
      <w:r w:rsidR="00A86D5A">
        <w:rPr>
          <w:rFonts w:asciiTheme="majorBidi" w:hAnsiTheme="majorBidi" w:cstheme="majorBidi"/>
          <w:lang w:val="en-US"/>
        </w:rPr>
        <w:t>model</w:t>
      </w:r>
      <w:r w:rsidR="00C44C67">
        <w:rPr>
          <w:rFonts w:asciiTheme="majorBidi" w:hAnsiTheme="majorBidi" w:cstheme="majorBidi"/>
          <w:lang w:val="en-US"/>
        </w:rPr>
        <w:t xml:space="preserve"> and based on the current trend of COVID-19 cases in the Kingdom, it can be deduced that the </w:t>
      </w:r>
      <w:r w:rsidR="00A86D5A">
        <w:rPr>
          <w:rFonts w:asciiTheme="majorBidi" w:hAnsiTheme="majorBidi" w:cstheme="majorBidi"/>
          <w:lang w:val="en-US"/>
        </w:rPr>
        <w:t xml:space="preserve">Daily Growth Rate for </w:t>
      </w:r>
      <w:r w:rsidR="004E17FE">
        <w:rPr>
          <w:rFonts w:asciiTheme="majorBidi" w:hAnsiTheme="majorBidi" w:cstheme="majorBidi"/>
          <w:lang w:val="en-US"/>
        </w:rPr>
        <w:t>this</w:t>
      </w:r>
      <w:r w:rsidR="00A86D5A">
        <w:rPr>
          <w:rFonts w:asciiTheme="majorBidi" w:hAnsiTheme="majorBidi" w:cstheme="majorBidi"/>
          <w:lang w:val="en-US"/>
        </w:rPr>
        <w:t xml:space="preserve"> study timeframe </w:t>
      </w:r>
      <w:r w:rsidR="00C44C67">
        <w:rPr>
          <w:rFonts w:asciiTheme="majorBidi" w:hAnsiTheme="majorBidi" w:cstheme="majorBidi"/>
          <w:lang w:val="en-US"/>
        </w:rPr>
        <w:t>is</w:t>
      </w:r>
      <w:r w:rsidR="00A86D5A">
        <w:rPr>
          <w:rFonts w:asciiTheme="majorBidi" w:hAnsiTheme="majorBidi" w:cstheme="majorBidi"/>
          <w:lang w:val="en-US"/>
        </w:rPr>
        <w:t xml:space="preserve"> </w:t>
      </w:r>
      <m:oMath>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r>
          <w:rPr>
            <w:rFonts w:ascii="Cambria Math" w:hAnsi="Cambria Math" w:cstheme="majorBidi"/>
            <w:lang w:val="en-US"/>
          </w:rPr>
          <m:t>=</m:t>
        </m:r>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21</m:t>
                </m:r>
              </m:den>
            </m:f>
          </m:e>
        </m:d>
        <m:r>
          <w:rPr>
            <w:rFonts w:ascii="Cambria Math" w:hAnsi="Cambria Math" w:cstheme="majorBidi"/>
            <w:lang w:val="en-US"/>
          </w:rPr>
          <m:t>≈0.047%</m:t>
        </m:r>
      </m:oMath>
      <w:r w:rsidR="00A86D5A">
        <w:rPr>
          <w:rFonts w:asciiTheme="majorBidi" w:hAnsiTheme="majorBidi" w:cstheme="majorBidi"/>
          <w:lang w:val="en-US"/>
        </w:rPr>
        <w:t>.</w:t>
      </w:r>
      <w:r w:rsidR="00DF7750">
        <w:rPr>
          <w:rFonts w:asciiTheme="majorBidi" w:hAnsiTheme="majorBidi" w:cstheme="majorBidi"/>
          <w:lang w:val="en-US"/>
        </w:rPr>
        <w:t xml:space="preserve"> </w:t>
      </w:r>
      <w:r w:rsidR="00D83B96">
        <w:rPr>
          <w:rFonts w:asciiTheme="majorBidi" w:hAnsiTheme="majorBidi" w:cstheme="majorBidi"/>
          <w:lang w:val="en-US"/>
        </w:rPr>
        <w:t>Furthermore,</w:t>
      </w:r>
      <w:r w:rsidR="00C44C67">
        <w:rPr>
          <w:rFonts w:asciiTheme="majorBidi" w:hAnsiTheme="majorBidi" w:cstheme="majorBidi"/>
          <w:lang w:val="en-US"/>
        </w:rPr>
        <w:t xml:space="preserve"> according to this model, the estimated maximum (upper limit</w:t>
      </w:r>
      <w:r w:rsidR="00A05DB6">
        <w:rPr>
          <w:rFonts w:asciiTheme="majorBidi" w:hAnsiTheme="majorBidi" w:cstheme="majorBidi"/>
          <w:lang w:val="en-US"/>
        </w:rPr>
        <w:t xml:space="preserve">, represented by </w:t>
      </w:r>
      <m:oMath>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oMath>
      <w:r w:rsidR="00C44C67">
        <w:rPr>
          <w:rFonts w:asciiTheme="majorBidi" w:hAnsiTheme="majorBidi" w:cstheme="majorBidi"/>
          <w:lang w:val="en-US"/>
        </w:rPr>
        <w:t>) number of cases that will be reached is 47,40</w:t>
      </w:r>
      <w:r w:rsidR="001C345D">
        <w:rPr>
          <w:rFonts w:asciiTheme="majorBidi" w:hAnsiTheme="majorBidi" w:cstheme="majorBidi"/>
          <w:lang w:val="en-US"/>
        </w:rPr>
        <w:t>8</w:t>
      </w:r>
      <w:r w:rsidR="00C44C67">
        <w:rPr>
          <w:rFonts w:asciiTheme="majorBidi" w:hAnsiTheme="majorBidi" w:cstheme="majorBidi"/>
          <w:lang w:val="en-US"/>
        </w:rPr>
        <w:t xml:space="preserve"> cases. While t</w:t>
      </w:r>
      <w:r w:rsidR="004E17FE">
        <w:rPr>
          <w:rFonts w:asciiTheme="majorBidi" w:hAnsiTheme="majorBidi" w:cstheme="majorBidi"/>
          <w:lang w:val="en-US"/>
        </w:rPr>
        <w:t xml:space="preserve">he total projected cases </w:t>
      </w:r>
      <w:r w:rsidR="00D83B96">
        <w:rPr>
          <w:rFonts w:asciiTheme="majorBidi" w:hAnsiTheme="majorBidi" w:cstheme="majorBidi"/>
          <w:lang w:val="en-US"/>
        </w:rPr>
        <w:t>at the end of the time-period (on the 27</w:t>
      </w:r>
      <w:r w:rsidR="00D83B96" w:rsidRPr="00D83B96">
        <w:rPr>
          <w:rFonts w:asciiTheme="majorBidi" w:hAnsiTheme="majorBidi" w:cstheme="majorBidi"/>
          <w:vertAlign w:val="superscript"/>
          <w:lang w:val="en-US"/>
        </w:rPr>
        <w:t>th</w:t>
      </w:r>
      <w:r w:rsidR="00D83B96">
        <w:rPr>
          <w:rFonts w:asciiTheme="majorBidi" w:hAnsiTheme="majorBidi" w:cstheme="majorBidi"/>
          <w:lang w:val="en-US"/>
        </w:rPr>
        <w:t xml:space="preserve"> of October 2020) </w:t>
      </w:r>
      <w:r w:rsidR="00C44C67">
        <w:rPr>
          <w:rFonts w:asciiTheme="majorBidi" w:hAnsiTheme="majorBidi" w:cstheme="majorBidi"/>
          <w:lang w:val="en-US"/>
        </w:rPr>
        <w:t xml:space="preserve">is </w:t>
      </w:r>
      <w:r w:rsidR="00D83B96">
        <w:rPr>
          <w:rFonts w:asciiTheme="majorBidi" w:hAnsiTheme="majorBidi" w:cstheme="majorBidi"/>
          <w:lang w:val="en-US"/>
        </w:rPr>
        <w:t xml:space="preserve">estimated to be </w:t>
      </w:r>
      <w:r w:rsidR="004E17FE" w:rsidRPr="002E75CD">
        <w:rPr>
          <w:rFonts w:asciiTheme="majorBidi" w:hAnsiTheme="majorBidi" w:cstheme="majorBidi"/>
          <w:lang w:val="en-US"/>
        </w:rPr>
        <w:t>47</w:t>
      </w:r>
      <w:r w:rsidR="00D83B96">
        <w:rPr>
          <w:rFonts w:asciiTheme="majorBidi" w:hAnsiTheme="majorBidi" w:cstheme="majorBidi"/>
          <w:lang w:val="en-US"/>
        </w:rPr>
        <w:t>,</w:t>
      </w:r>
      <w:r w:rsidR="004E17FE" w:rsidRPr="002E75CD">
        <w:rPr>
          <w:rFonts w:asciiTheme="majorBidi" w:hAnsiTheme="majorBidi" w:cstheme="majorBidi"/>
          <w:lang w:val="en-US"/>
        </w:rPr>
        <w:t>277</w:t>
      </w:r>
      <w:r w:rsidR="004E17FE">
        <w:rPr>
          <w:rFonts w:asciiTheme="majorBidi" w:hAnsiTheme="majorBidi" w:cstheme="majorBidi"/>
          <w:lang w:val="en-US"/>
        </w:rPr>
        <w:t xml:space="preserve"> cases</w:t>
      </w:r>
      <w:r w:rsidR="00C44C67">
        <w:rPr>
          <w:rFonts w:asciiTheme="majorBidi" w:hAnsiTheme="majorBidi" w:cstheme="majorBidi"/>
          <w:lang w:val="en-US"/>
        </w:rPr>
        <w:t xml:space="preserve">. </w:t>
      </w:r>
    </w:p>
    <w:p w14:paraId="74F1B9C5" w14:textId="77777777" w:rsidR="00B37834" w:rsidRDefault="00B37834">
      <w:pPr>
        <w:spacing w:after="160" w:line="259" w:lineRule="auto"/>
        <w:rPr>
          <w:rFonts w:asciiTheme="majorBidi" w:hAnsiTheme="majorBidi" w:cstheme="majorBidi"/>
          <w:lang w:val="en-US"/>
        </w:rPr>
      </w:pPr>
      <w:r>
        <w:rPr>
          <w:rFonts w:asciiTheme="majorBidi" w:hAnsiTheme="majorBidi" w:cstheme="majorBidi"/>
          <w:lang w:val="en-US"/>
        </w:rPr>
        <w:br w:type="page"/>
      </w:r>
    </w:p>
    <w:p w14:paraId="62DAC5C4" w14:textId="16CDA4A4" w:rsidR="00051C1B" w:rsidRDefault="00435E82" w:rsidP="008C4D3D">
      <w:pPr>
        <w:ind w:firstLine="576"/>
        <w:jc w:val="both"/>
        <w:rPr>
          <w:rFonts w:asciiTheme="majorBidi" w:hAnsiTheme="majorBidi" w:cstheme="majorBidi"/>
          <w:lang w:val="en-US"/>
        </w:rPr>
      </w:pPr>
      <w:r>
        <w:rPr>
          <w:rFonts w:asciiTheme="majorBidi" w:hAnsiTheme="majorBidi" w:cstheme="majorBidi"/>
          <w:lang w:val="en-US"/>
        </w:rPr>
        <w:lastRenderedPageBreak/>
        <w:t xml:space="preserve">The </w:t>
      </w:r>
      <w:r w:rsidR="00D365D8">
        <w:rPr>
          <w:rFonts w:asciiTheme="majorBidi" w:hAnsiTheme="majorBidi" w:cstheme="majorBidi"/>
          <w:lang w:val="en-US"/>
        </w:rPr>
        <w:t xml:space="preserve">generated </w:t>
      </w:r>
      <w:r>
        <w:rPr>
          <w:rFonts w:asciiTheme="majorBidi" w:hAnsiTheme="majorBidi" w:cstheme="majorBidi"/>
          <w:lang w:val="en-US"/>
        </w:rPr>
        <w:t xml:space="preserve">logistic growth model </w:t>
      </w:r>
      <w:r w:rsidR="00D365D8">
        <w:rPr>
          <w:rFonts w:asciiTheme="majorBidi" w:hAnsiTheme="majorBidi" w:cstheme="majorBidi"/>
          <w:lang w:val="en-US"/>
        </w:rPr>
        <w:t xml:space="preserve">for </w:t>
      </w:r>
      <w:r w:rsidR="00E44455">
        <w:rPr>
          <w:rFonts w:asciiTheme="majorBidi" w:hAnsiTheme="majorBidi" w:cstheme="majorBidi"/>
          <w:lang w:val="en-US"/>
        </w:rPr>
        <w:t xml:space="preserve">the </w:t>
      </w:r>
      <w:r>
        <w:rPr>
          <w:rFonts w:asciiTheme="majorBidi" w:hAnsiTheme="majorBidi" w:cstheme="majorBidi"/>
          <w:lang w:val="en-US"/>
        </w:rPr>
        <w:t>COVID-19 cases</w:t>
      </w:r>
      <w:r w:rsidR="00D365D8">
        <w:rPr>
          <w:rFonts w:asciiTheme="majorBidi" w:hAnsiTheme="majorBidi" w:cstheme="majorBidi"/>
          <w:lang w:val="en-US"/>
        </w:rPr>
        <w:t xml:space="preserve">, illustrated </w:t>
      </w:r>
      <w:r>
        <w:rPr>
          <w:rFonts w:asciiTheme="majorBidi" w:hAnsiTheme="majorBidi" w:cstheme="majorBidi"/>
          <w:lang w:val="en-US"/>
        </w:rPr>
        <w:t xml:space="preserve">in </w:t>
      </w:r>
      <w:r w:rsidR="00862F66" w:rsidRPr="00F7345A">
        <w:rPr>
          <w:rFonts w:asciiTheme="majorBidi" w:hAnsiTheme="majorBidi" w:cstheme="majorBidi"/>
          <w:b/>
          <w:bCs w:val="0"/>
          <w:lang w:val="en-US"/>
        </w:rPr>
        <w:fldChar w:fldCharType="begin"/>
      </w:r>
      <w:r w:rsidR="00862F66" w:rsidRPr="00F7345A">
        <w:rPr>
          <w:rFonts w:asciiTheme="majorBidi" w:hAnsiTheme="majorBidi" w:cstheme="majorBidi"/>
          <w:b/>
          <w:bCs w:val="0"/>
          <w:lang w:val="en-US"/>
        </w:rPr>
        <w:instrText xml:space="preserve"> REF _Ref59153592 \h  \* MERGEFORMAT </w:instrText>
      </w:r>
      <w:r w:rsidR="00862F66" w:rsidRPr="00F7345A">
        <w:rPr>
          <w:rFonts w:asciiTheme="majorBidi" w:hAnsiTheme="majorBidi" w:cstheme="majorBidi"/>
          <w:b/>
          <w:bCs w:val="0"/>
          <w:lang w:val="en-US"/>
        </w:rPr>
      </w:r>
      <w:r w:rsidR="00862F66" w:rsidRPr="00F7345A">
        <w:rPr>
          <w:rFonts w:asciiTheme="majorBidi" w:hAnsiTheme="majorBidi" w:cstheme="majorBidi"/>
          <w:b/>
          <w:bCs w:val="0"/>
          <w:lang w:val="en-US"/>
        </w:rPr>
        <w:fldChar w:fldCharType="separate"/>
      </w:r>
      <w:r w:rsidR="00862F66" w:rsidRPr="00F7345A">
        <w:rPr>
          <w:b/>
          <w:bCs w:val="0"/>
        </w:rPr>
        <w:t xml:space="preserve">Fig. </w:t>
      </w:r>
      <w:r w:rsidR="00862F66" w:rsidRPr="00F7345A">
        <w:rPr>
          <w:b/>
          <w:bCs w:val="0"/>
          <w:noProof/>
        </w:rPr>
        <w:t>5</w:t>
      </w:r>
      <w:r w:rsidR="00862F66" w:rsidRPr="00F7345A">
        <w:rPr>
          <w:rFonts w:asciiTheme="majorBidi" w:hAnsiTheme="majorBidi" w:cstheme="majorBidi"/>
          <w:b/>
          <w:bCs w:val="0"/>
          <w:lang w:val="en-US"/>
        </w:rPr>
        <w:fldChar w:fldCharType="end"/>
      </w:r>
      <w:r w:rsidR="00D365D8">
        <w:rPr>
          <w:rFonts w:asciiTheme="majorBidi" w:hAnsiTheme="majorBidi" w:cstheme="majorBidi"/>
          <w:lang w:val="en-US"/>
        </w:rPr>
        <w:t xml:space="preserve">, </w:t>
      </w:r>
      <w:r>
        <w:rPr>
          <w:rFonts w:asciiTheme="majorBidi" w:hAnsiTheme="majorBidi" w:cstheme="majorBidi"/>
          <w:lang w:val="en-US"/>
        </w:rPr>
        <w:t xml:space="preserve">shows </w:t>
      </w:r>
      <w:r w:rsidR="00D365D8">
        <w:rPr>
          <w:rFonts w:asciiTheme="majorBidi" w:hAnsiTheme="majorBidi" w:cstheme="majorBidi"/>
          <w:lang w:val="en-US"/>
        </w:rPr>
        <w:t>that the model was closely fitted to the provided data</w:t>
      </w:r>
      <w:r w:rsidR="00D26B9B">
        <w:rPr>
          <w:rFonts w:asciiTheme="majorBidi" w:hAnsiTheme="majorBidi" w:cstheme="majorBidi"/>
          <w:lang w:val="en-US"/>
        </w:rPr>
        <w:t>;</w:t>
      </w:r>
      <w:r w:rsidR="00D365D8">
        <w:rPr>
          <w:rFonts w:asciiTheme="majorBidi" w:hAnsiTheme="majorBidi" w:cstheme="majorBidi"/>
          <w:lang w:val="en-US"/>
        </w:rPr>
        <w:t xml:space="preserve"> the </w:t>
      </w:r>
      <w:r>
        <w:rPr>
          <w:rFonts w:asciiTheme="majorBidi" w:hAnsiTheme="majorBidi" w:cstheme="majorBidi"/>
          <w:lang w:val="en-US"/>
        </w:rPr>
        <w:t>actual total number of case</w:t>
      </w:r>
      <w:r w:rsidR="00B17248">
        <w:rPr>
          <w:rFonts w:asciiTheme="majorBidi" w:hAnsiTheme="majorBidi" w:cstheme="majorBidi"/>
          <w:lang w:val="en-US"/>
        </w:rPr>
        <w:t>s</w:t>
      </w:r>
      <w:r w:rsidR="005048C2">
        <w:rPr>
          <w:rFonts w:asciiTheme="majorBidi" w:hAnsiTheme="majorBidi" w:cstheme="majorBidi"/>
          <w:lang w:val="en-US"/>
        </w:rPr>
        <w:t xml:space="preserve"> (represented on the y-axis) </w:t>
      </w:r>
      <w:r>
        <w:rPr>
          <w:rFonts w:asciiTheme="majorBidi" w:hAnsiTheme="majorBidi" w:cstheme="majorBidi"/>
          <w:lang w:val="en-US"/>
        </w:rPr>
        <w:t>for the stud</w:t>
      </w:r>
      <w:r w:rsidR="000D10FB">
        <w:rPr>
          <w:rFonts w:asciiTheme="majorBidi" w:hAnsiTheme="majorBidi" w:cstheme="majorBidi"/>
          <w:lang w:val="en-US"/>
        </w:rPr>
        <w:t>ied</w:t>
      </w:r>
      <w:r>
        <w:rPr>
          <w:rFonts w:asciiTheme="majorBidi" w:hAnsiTheme="majorBidi" w:cstheme="majorBidi"/>
          <w:lang w:val="en-US"/>
        </w:rPr>
        <w:t xml:space="preserve"> period</w:t>
      </w:r>
      <w:r w:rsidR="00D365D8">
        <w:rPr>
          <w:rFonts w:asciiTheme="majorBidi" w:hAnsiTheme="majorBidi" w:cstheme="majorBidi"/>
          <w:lang w:val="en-US"/>
        </w:rPr>
        <w:t xml:space="preserve"> (</w:t>
      </w:r>
      <w:r w:rsidR="000D10FB">
        <w:rPr>
          <w:rFonts w:asciiTheme="majorBidi" w:hAnsiTheme="majorBidi" w:cstheme="majorBidi"/>
          <w:lang w:val="en-US"/>
        </w:rPr>
        <w:t>24</w:t>
      </w:r>
      <w:r w:rsidR="000D10FB" w:rsidRPr="000D10FB">
        <w:rPr>
          <w:rFonts w:asciiTheme="majorBidi" w:hAnsiTheme="majorBidi" w:cstheme="majorBidi"/>
          <w:vertAlign w:val="superscript"/>
          <w:lang w:val="en-US"/>
        </w:rPr>
        <w:t>th</w:t>
      </w:r>
      <w:r w:rsidR="000D10FB">
        <w:rPr>
          <w:rFonts w:asciiTheme="majorBidi" w:hAnsiTheme="majorBidi" w:cstheme="majorBidi"/>
          <w:lang w:val="en-US"/>
        </w:rPr>
        <w:t xml:space="preserve"> of February until the 29</w:t>
      </w:r>
      <w:r w:rsidR="000D10FB" w:rsidRPr="000D10FB">
        <w:rPr>
          <w:rFonts w:asciiTheme="majorBidi" w:hAnsiTheme="majorBidi" w:cstheme="majorBidi"/>
          <w:vertAlign w:val="superscript"/>
          <w:lang w:val="en-US"/>
        </w:rPr>
        <w:t>th</w:t>
      </w:r>
      <w:r w:rsidR="000D10FB">
        <w:rPr>
          <w:rFonts w:asciiTheme="majorBidi" w:hAnsiTheme="majorBidi" w:cstheme="majorBidi"/>
          <w:lang w:val="en-US"/>
        </w:rPr>
        <w:t xml:space="preserve"> of July 2020</w:t>
      </w:r>
      <w:r w:rsidR="00D365D8">
        <w:rPr>
          <w:rFonts w:asciiTheme="majorBidi" w:hAnsiTheme="majorBidi" w:cstheme="majorBidi"/>
          <w:lang w:val="en-US"/>
        </w:rPr>
        <w:t>). The actual data</w:t>
      </w:r>
      <w:r w:rsidR="009F6B62">
        <w:rPr>
          <w:rFonts w:asciiTheme="majorBidi" w:hAnsiTheme="majorBidi" w:cstheme="majorBidi"/>
          <w:lang w:val="en-US"/>
        </w:rPr>
        <w:t>, total number of cases,</w:t>
      </w:r>
      <w:r w:rsidR="00D365D8">
        <w:rPr>
          <w:rFonts w:asciiTheme="majorBidi" w:hAnsiTheme="majorBidi" w:cstheme="majorBidi"/>
          <w:lang w:val="en-US"/>
        </w:rPr>
        <w:t xml:space="preserve"> is presented in the grey line, while the predictions</w:t>
      </w:r>
      <w:r w:rsidR="009F6B62">
        <w:rPr>
          <w:rFonts w:asciiTheme="majorBidi" w:hAnsiTheme="majorBidi" w:cstheme="majorBidi"/>
          <w:lang w:val="en-US"/>
        </w:rPr>
        <w:t>, predicted cases</w:t>
      </w:r>
      <w:r w:rsidR="001B7487">
        <w:rPr>
          <w:rFonts w:asciiTheme="majorBidi" w:hAnsiTheme="majorBidi" w:cstheme="majorBidi"/>
          <w:lang w:val="en-US"/>
        </w:rPr>
        <w:t xml:space="preserve"> for the study period</w:t>
      </w:r>
      <w:r w:rsidR="0080502B">
        <w:rPr>
          <w:rFonts w:asciiTheme="majorBidi" w:hAnsiTheme="majorBidi" w:cstheme="majorBidi"/>
          <w:lang w:val="en-US"/>
        </w:rPr>
        <w:t>,</w:t>
      </w:r>
      <w:r w:rsidR="001B7487">
        <w:rPr>
          <w:rFonts w:asciiTheme="majorBidi" w:hAnsiTheme="majorBidi" w:cstheme="majorBidi"/>
          <w:lang w:val="en-US"/>
        </w:rPr>
        <w:t xml:space="preserve"> </w:t>
      </w:r>
      <w:r w:rsidR="003A5D7B">
        <w:rPr>
          <w:rFonts w:asciiTheme="majorBidi" w:hAnsiTheme="majorBidi" w:cstheme="majorBidi"/>
          <w:lang w:val="en-US"/>
        </w:rPr>
        <w:t>is</w:t>
      </w:r>
      <w:r w:rsidR="00D365D8">
        <w:rPr>
          <w:rFonts w:asciiTheme="majorBidi" w:hAnsiTheme="majorBidi" w:cstheme="majorBidi"/>
          <w:lang w:val="en-US"/>
        </w:rPr>
        <w:t xml:space="preserve"> presented in the blue line and it can be observed that they are very close.</w:t>
      </w:r>
      <w:r w:rsidR="00B0553A">
        <w:rPr>
          <w:rFonts w:asciiTheme="majorBidi" w:hAnsiTheme="majorBidi" w:cstheme="majorBidi"/>
          <w:lang w:val="en-US"/>
        </w:rPr>
        <w:t xml:space="preserve"> The projected number of cases generated from the model, presented in the red line, shows how the model predicts the upcoming number of cases </w:t>
      </w:r>
      <w:r w:rsidR="001B7487">
        <w:rPr>
          <w:rFonts w:asciiTheme="majorBidi" w:hAnsiTheme="majorBidi" w:cstheme="majorBidi"/>
          <w:lang w:val="en-US"/>
        </w:rPr>
        <w:t xml:space="preserve">for a given day (represented </w:t>
      </w:r>
      <w:r w:rsidR="0080502B">
        <w:rPr>
          <w:rFonts w:asciiTheme="majorBidi" w:hAnsiTheme="majorBidi" w:cstheme="majorBidi"/>
          <w:lang w:val="en-US"/>
        </w:rPr>
        <w:t>o</w:t>
      </w:r>
      <w:r w:rsidR="001B7487">
        <w:rPr>
          <w:rFonts w:asciiTheme="majorBidi" w:hAnsiTheme="majorBidi" w:cstheme="majorBidi"/>
          <w:lang w:val="en-US"/>
        </w:rPr>
        <w:t xml:space="preserve">n the x-axis) </w:t>
      </w:r>
      <w:r w:rsidR="00B0553A">
        <w:rPr>
          <w:rFonts w:asciiTheme="majorBidi" w:hAnsiTheme="majorBidi" w:cstheme="majorBidi"/>
          <w:lang w:val="en-US"/>
        </w:rPr>
        <w:t>in the projection timeframe (90 days).</w:t>
      </w:r>
      <w:r w:rsidR="00743D89">
        <w:rPr>
          <w:rFonts w:asciiTheme="majorBidi" w:hAnsiTheme="majorBidi" w:cstheme="majorBidi"/>
          <w:lang w:val="en-US"/>
        </w:rPr>
        <w:t xml:space="preserve"> Furthermore, as per the generated logistic model, it shows that the number of cases will stop increasing exponentially approximately at the 200</w:t>
      </w:r>
      <w:r w:rsidR="00743D89" w:rsidRPr="00743D89">
        <w:rPr>
          <w:rFonts w:asciiTheme="majorBidi" w:hAnsiTheme="majorBidi" w:cstheme="majorBidi"/>
          <w:vertAlign w:val="superscript"/>
          <w:lang w:val="en-US"/>
        </w:rPr>
        <w:t>th</w:t>
      </w:r>
      <w:r w:rsidR="00743D89">
        <w:rPr>
          <w:rFonts w:asciiTheme="majorBidi" w:hAnsiTheme="majorBidi" w:cstheme="majorBidi"/>
          <w:lang w:val="en-US"/>
        </w:rPr>
        <w:t xml:space="preserve"> day, after the first case</w:t>
      </w:r>
      <w:r w:rsidR="00146344">
        <w:rPr>
          <w:rFonts w:asciiTheme="majorBidi" w:hAnsiTheme="majorBidi" w:cstheme="majorBidi"/>
          <w:lang w:val="en-US"/>
        </w:rPr>
        <w:t xml:space="preserve"> – in medical terms, the curve will </w:t>
      </w:r>
      <w:r w:rsidR="00ED1F51">
        <w:rPr>
          <w:rFonts w:asciiTheme="majorBidi" w:hAnsiTheme="majorBidi" w:cstheme="majorBidi"/>
          <w:lang w:val="en-US"/>
        </w:rPr>
        <w:t>begin</w:t>
      </w:r>
      <w:r w:rsidR="00146344">
        <w:rPr>
          <w:rFonts w:asciiTheme="majorBidi" w:hAnsiTheme="majorBidi" w:cstheme="majorBidi"/>
          <w:lang w:val="en-US"/>
        </w:rPr>
        <w:t xml:space="preserve"> to </w:t>
      </w:r>
      <w:r w:rsidR="00460034">
        <w:rPr>
          <w:rFonts w:asciiTheme="majorBidi" w:hAnsiTheme="majorBidi" w:cstheme="majorBidi"/>
          <w:lang w:val="en-US"/>
        </w:rPr>
        <w:t xml:space="preserve">flatten as the </w:t>
      </w:r>
      <w:r w:rsidR="007F14BE">
        <w:rPr>
          <w:rFonts w:asciiTheme="majorBidi" w:hAnsiTheme="majorBidi" w:cstheme="majorBidi"/>
          <w:lang w:val="en-US"/>
        </w:rPr>
        <w:t xml:space="preserve">amount of </w:t>
      </w:r>
      <w:r w:rsidR="00460034">
        <w:rPr>
          <w:rFonts w:asciiTheme="majorBidi" w:hAnsiTheme="majorBidi" w:cstheme="majorBidi"/>
          <w:lang w:val="en-US"/>
        </w:rPr>
        <w:t xml:space="preserve">increase in the number of </w:t>
      </w:r>
      <w:r w:rsidR="00146344">
        <w:rPr>
          <w:rFonts w:asciiTheme="majorBidi" w:hAnsiTheme="majorBidi" w:cstheme="majorBidi"/>
          <w:lang w:val="en-US"/>
        </w:rPr>
        <w:t xml:space="preserve">cases </w:t>
      </w:r>
      <w:r w:rsidR="00460034">
        <w:rPr>
          <w:rFonts w:asciiTheme="majorBidi" w:hAnsiTheme="majorBidi" w:cstheme="majorBidi"/>
          <w:lang w:val="en-US"/>
        </w:rPr>
        <w:t>day after day will decrease.</w:t>
      </w:r>
    </w:p>
    <w:p w14:paraId="1515F6F7" w14:textId="77777777" w:rsidR="00F06C33" w:rsidRDefault="00F471F9" w:rsidP="00C95C4B">
      <w:pPr>
        <w:keepNext/>
        <w:spacing w:line="276" w:lineRule="auto"/>
        <w:jc w:val="both"/>
      </w:pPr>
      <w:r>
        <w:rPr>
          <w:noProof/>
        </w:rPr>
        <w:drawing>
          <wp:inline distT="0" distB="0" distL="0" distR="0" wp14:anchorId="14F92F38" wp14:editId="1D89DE20">
            <wp:extent cx="5272882" cy="3130575"/>
            <wp:effectExtent l="19050" t="19050" r="2349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3306" b="2412"/>
                    <a:stretch/>
                  </pic:blipFill>
                  <pic:spPr bwMode="auto">
                    <a:xfrm>
                      <a:off x="0" y="0"/>
                      <a:ext cx="5274310" cy="31314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C479251" w14:textId="04779B0B" w:rsidR="00F471F9" w:rsidRPr="00F06C33" w:rsidRDefault="00F06C33" w:rsidP="00F06C33">
      <w:pPr>
        <w:pStyle w:val="UOB-FigStyle"/>
        <w:rPr>
          <w:rFonts w:asciiTheme="majorBidi" w:hAnsiTheme="majorBidi" w:cstheme="majorBidi"/>
          <w:b w:val="0"/>
          <w:bCs/>
          <w:lang w:val="en-US"/>
        </w:rPr>
      </w:pPr>
      <w:bookmarkStart w:id="85" w:name="_Ref59153592"/>
      <w:bookmarkStart w:id="86" w:name="_Toc59172941"/>
      <w:r>
        <w:t xml:space="preserve">Fig. </w:t>
      </w:r>
      <w:r>
        <w:fldChar w:fldCharType="begin"/>
      </w:r>
      <w:r>
        <w:instrText xml:space="preserve"> SEQ Fig. \* ARABIC </w:instrText>
      </w:r>
      <w:r>
        <w:fldChar w:fldCharType="separate"/>
      </w:r>
      <w:r w:rsidR="00C95C4B">
        <w:rPr>
          <w:noProof/>
        </w:rPr>
        <w:t>5</w:t>
      </w:r>
      <w:r>
        <w:fldChar w:fldCharType="end"/>
      </w:r>
      <w:bookmarkEnd w:id="85"/>
      <w:r>
        <w:rPr>
          <w:lang w:val="en-US"/>
        </w:rPr>
        <w:t>:</w:t>
      </w:r>
      <w:r w:rsidRPr="00F06C33">
        <w:rPr>
          <w:b w:val="0"/>
          <w:bCs/>
          <w:lang w:val="en-US"/>
        </w:rPr>
        <w:t xml:space="preserve"> Logistic Growth Model of COVID-19 in the Kingdom of Bahrain</w:t>
      </w:r>
      <w:bookmarkEnd w:id="86"/>
    </w:p>
    <w:p w14:paraId="189CFF2D" w14:textId="77777777" w:rsidR="00B37834" w:rsidRDefault="00B37834">
      <w:pPr>
        <w:spacing w:after="160" w:line="259" w:lineRule="auto"/>
        <w:rPr>
          <w:rFonts w:eastAsiaTheme="majorEastAsia" w:cs="Times New Roman"/>
          <w:b/>
          <w:bCs w:val="0"/>
          <w:color w:val="auto"/>
          <w:sz w:val="32"/>
          <w:szCs w:val="32"/>
          <w:lang w:val="en-US"/>
        </w:rPr>
      </w:pPr>
      <w:r>
        <w:rPr>
          <w:lang w:val="en-US"/>
        </w:rPr>
        <w:br w:type="page"/>
      </w:r>
    </w:p>
    <w:p w14:paraId="26473636" w14:textId="7870C0AF" w:rsidR="00C15C64" w:rsidRDefault="00C15C64" w:rsidP="00C15C64">
      <w:pPr>
        <w:pStyle w:val="UOB-Subheadings"/>
        <w:rPr>
          <w:lang w:val="en-US"/>
        </w:rPr>
      </w:pPr>
      <w:bookmarkStart w:id="87" w:name="_Toc59172926"/>
      <w:r>
        <w:rPr>
          <w:lang w:val="en-US"/>
        </w:rPr>
        <w:lastRenderedPageBreak/>
        <w:t>Bed Capacity</w:t>
      </w:r>
      <w:bookmarkEnd w:id="87"/>
    </w:p>
    <w:p w14:paraId="54A5825A" w14:textId="6648B0E3" w:rsidR="00E8251E" w:rsidRDefault="00C15C64" w:rsidP="008C4D3D">
      <w:pPr>
        <w:ind w:firstLine="576"/>
        <w:jc w:val="both"/>
        <w:rPr>
          <w:rFonts w:eastAsiaTheme="majorEastAsia"/>
        </w:rPr>
      </w:pPr>
      <w:r>
        <w:rPr>
          <w:rFonts w:eastAsiaTheme="majorEastAsia"/>
        </w:rPr>
        <w:t xml:space="preserve">In this study, </w:t>
      </w:r>
      <w:r w:rsidR="00741DFF">
        <w:rPr>
          <w:rFonts w:eastAsiaTheme="majorEastAsia"/>
        </w:rPr>
        <w:t>the total bed capacity is the main variable of interest in assessing the ability of the Bahrain health system to respond to the COVID-19 epidemic. However, to be able to accommodate COVID-19 cases that will require hospitalization, the total available beds (excluding the beds that are already occupied due to general demand) will be required to be able to judge whether the capacity of the health system</w:t>
      </w:r>
      <w:r w:rsidR="001D313D">
        <w:rPr>
          <w:rFonts w:eastAsiaTheme="majorEastAsia"/>
        </w:rPr>
        <w:t>,</w:t>
      </w:r>
      <w:r w:rsidR="00741DFF">
        <w:rPr>
          <w:rFonts w:eastAsiaTheme="majorEastAsia"/>
        </w:rPr>
        <w:t xml:space="preserve"> in terms of beds</w:t>
      </w:r>
      <w:r w:rsidR="001D313D">
        <w:rPr>
          <w:rFonts w:eastAsiaTheme="majorEastAsia"/>
        </w:rPr>
        <w:t>,</w:t>
      </w:r>
      <w:r w:rsidR="00741DFF">
        <w:rPr>
          <w:rFonts w:eastAsiaTheme="majorEastAsia"/>
        </w:rPr>
        <w:t xml:space="preserve"> will be over-exceeded (saturated) or not.</w:t>
      </w:r>
      <w:r w:rsidR="008077AA">
        <w:rPr>
          <w:rFonts w:eastAsiaTheme="majorEastAsia"/>
        </w:rPr>
        <w:t xml:space="preserve"> This variable (available beds) is determined by the total beds and bed occupancy rate. To be able to compare this with the projected cases, the current hospitalization rate will be required as well. This section highlights the resulting values for all these factors and variables.</w:t>
      </w:r>
    </w:p>
    <w:p w14:paraId="0579AA13" w14:textId="7A127675" w:rsidR="008C4D3D" w:rsidRDefault="008C4D3D" w:rsidP="002A44DF">
      <w:pPr>
        <w:ind w:firstLine="576"/>
        <w:jc w:val="both"/>
        <w:rPr>
          <w:lang w:val="en-US"/>
        </w:rPr>
      </w:pPr>
      <w:r>
        <w:rPr>
          <w:lang w:val="en-US"/>
        </w:rPr>
        <w:t>Based on the implemented statistical analysis</w:t>
      </w:r>
      <w:r w:rsidR="00D773BE">
        <w:rPr>
          <w:lang w:val="en-US"/>
        </w:rPr>
        <w:t xml:space="preserve"> in this research</w:t>
      </w:r>
      <w:r>
        <w:rPr>
          <w:lang w:val="en-US"/>
        </w:rPr>
        <w:t xml:space="preserve">, the estimated values for the factors </w:t>
      </w:r>
      <w:r w:rsidR="00D863B7">
        <w:rPr>
          <w:lang w:val="en-US"/>
        </w:rPr>
        <w:t xml:space="preserve">related to bed capacity within the scenario of this research are </w:t>
      </w:r>
      <w:r>
        <w:rPr>
          <w:lang w:val="en-US"/>
        </w:rPr>
        <w:t xml:space="preserve">presented in </w:t>
      </w:r>
      <w:r w:rsidR="00B02D57" w:rsidRPr="005B7B7E">
        <w:rPr>
          <w:b/>
          <w:bCs w:val="0"/>
          <w:lang w:val="en-US"/>
        </w:rPr>
        <w:fldChar w:fldCharType="begin"/>
      </w:r>
      <w:r w:rsidR="00B02D57" w:rsidRPr="005B7B7E">
        <w:rPr>
          <w:b/>
          <w:bCs w:val="0"/>
          <w:lang w:val="en-US"/>
        </w:rPr>
        <w:instrText xml:space="preserve"> REF _Ref59155990 \h </w:instrText>
      </w:r>
      <w:r w:rsidR="005B7B7E">
        <w:rPr>
          <w:b/>
          <w:bCs w:val="0"/>
          <w:lang w:val="en-US"/>
        </w:rPr>
        <w:instrText xml:space="preserve"> \* MERGEFORMAT </w:instrText>
      </w:r>
      <w:r w:rsidR="00B02D57" w:rsidRPr="005B7B7E">
        <w:rPr>
          <w:b/>
          <w:bCs w:val="0"/>
          <w:lang w:val="en-US"/>
        </w:rPr>
      </w:r>
      <w:r w:rsidR="00B02D57" w:rsidRPr="005B7B7E">
        <w:rPr>
          <w:b/>
          <w:bCs w:val="0"/>
          <w:lang w:val="en-US"/>
        </w:rPr>
        <w:fldChar w:fldCharType="separate"/>
      </w:r>
      <w:r w:rsidR="00B02D57" w:rsidRPr="005B7B7E">
        <w:rPr>
          <w:b/>
          <w:bCs w:val="0"/>
        </w:rPr>
        <w:t>Table (3)</w:t>
      </w:r>
      <w:r w:rsidR="00B02D57" w:rsidRPr="005B7B7E">
        <w:rPr>
          <w:b/>
          <w:bCs w:val="0"/>
          <w:lang w:val="en-US"/>
        </w:rPr>
        <w:fldChar w:fldCharType="end"/>
      </w:r>
      <w:r w:rsidR="005B7B7E">
        <w:rPr>
          <w:lang w:val="en-US"/>
        </w:rPr>
        <w:t xml:space="preserve"> below</w:t>
      </w:r>
      <w:r w:rsidR="002B4945">
        <w:rPr>
          <w:lang w:val="en-US"/>
        </w:rPr>
        <w:t xml:space="preserve">. </w:t>
      </w:r>
      <w:r w:rsidR="00BA218E">
        <w:rPr>
          <w:lang w:val="en-US"/>
        </w:rPr>
        <w:t>In this research’s given scenario, with 80% hospital BOR, i</w:t>
      </w:r>
      <w:r w:rsidR="002B4945">
        <w:rPr>
          <w:lang w:val="en-US"/>
        </w:rPr>
        <w:t>t can be observed that the there is a high variation in the number of available IQC beds relative to hospital beds</w:t>
      </w:r>
      <w:r w:rsidR="009A5B88">
        <w:rPr>
          <w:lang w:val="en-US"/>
        </w:rPr>
        <w:t xml:space="preserve">, </w:t>
      </w:r>
      <w:r w:rsidR="002A44DF">
        <w:rPr>
          <w:lang w:val="en-US"/>
        </w:rPr>
        <w:t xml:space="preserve">IQC beds </w:t>
      </w:r>
      <w:r w:rsidR="009A5B88">
        <w:rPr>
          <w:lang w:val="en-US"/>
        </w:rPr>
        <w:t>account</w:t>
      </w:r>
      <w:r w:rsidR="002A44DF">
        <w:rPr>
          <w:lang w:val="en-US"/>
        </w:rPr>
        <w:t xml:space="preserve"> </w:t>
      </w:r>
      <w:r w:rsidR="009A5B88">
        <w:rPr>
          <w:lang w:val="en-US"/>
        </w:rPr>
        <w:t xml:space="preserve">for approximately </w:t>
      </w:r>
      <w:r w:rsidR="00A362F7">
        <w:rPr>
          <w:lang w:val="en-US"/>
        </w:rPr>
        <w:t>90</w:t>
      </w:r>
      <w:r w:rsidR="009A5B88">
        <w:rPr>
          <w:lang w:val="en-US"/>
        </w:rPr>
        <w:t xml:space="preserve">% of </w:t>
      </w:r>
      <w:r w:rsidR="008255C1">
        <w:rPr>
          <w:lang w:val="en-US"/>
        </w:rPr>
        <w:t xml:space="preserve">the </w:t>
      </w:r>
      <w:r w:rsidR="009A5B88">
        <w:rPr>
          <w:lang w:val="en-US"/>
        </w:rPr>
        <w:t>total available beds in the Kingdom</w:t>
      </w:r>
      <w:r w:rsidR="005F1097">
        <w:rPr>
          <w:lang w:val="en-US"/>
        </w:rPr>
        <w:t xml:space="preserve"> that can be utilized to respond to COVID-19 cases.</w:t>
      </w:r>
    </w:p>
    <w:p w14:paraId="55420F96" w14:textId="1951C621" w:rsidR="00B02D57" w:rsidRPr="00B02D57" w:rsidRDefault="00B02D57" w:rsidP="00B02D57">
      <w:pPr>
        <w:pStyle w:val="UOB-FigStyle"/>
        <w:rPr>
          <w:b w:val="0"/>
          <w:bCs/>
          <w:lang w:val="en-US"/>
        </w:rPr>
      </w:pPr>
      <w:bookmarkStart w:id="88" w:name="_Ref59155990"/>
      <w:bookmarkStart w:id="89" w:name="_Toc59172936"/>
      <w:r>
        <w:t>Table (</w:t>
      </w:r>
      <w:r>
        <w:fldChar w:fldCharType="begin"/>
      </w:r>
      <w:r>
        <w:instrText xml:space="preserve"> SEQ Table_( \* ARABIC </w:instrText>
      </w:r>
      <w:r>
        <w:fldChar w:fldCharType="separate"/>
      </w:r>
      <w:r>
        <w:rPr>
          <w:noProof/>
        </w:rPr>
        <w:t>3</w:t>
      </w:r>
      <w:r>
        <w:fldChar w:fldCharType="end"/>
      </w:r>
      <w:bookmarkEnd w:id="88"/>
      <w:r>
        <w:rPr>
          <w:lang w:val="en-US"/>
        </w:rPr>
        <w:t>):</w:t>
      </w:r>
      <w:r w:rsidRPr="00B02D57">
        <w:rPr>
          <w:b w:val="0"/>
          <w:bCs/>
          <w:lang w:val="en-US"/>
        </w:rPr>
        <w:t xml:space="preserve"> Statistical Results of Bed Capacity related Variables</w:t>
      </w:r>
      <w:bookmarkEnd w:id="89"/>
    </w:p>
    <w:tbl>
      <w:tblPr>
        <w:tblStyle w:val="TableGrid"/>
        <w:tblW w:w="5000" w:type="pct"/>
        <w:tblLook w:val="04A0" w:firstRow="1" w:lastRow="0" w:firstColumn="1" w:lastColumn="0" w:noHBand="0" w:noVBand="1"/>
      </w:tblPr>
      <w:tblGrid>
        <w:gridCol w:w="5422"/>
        <w:gridCol w:w="2874"/>
      </w:tblGrid>
      <w:tr w:rsidR="003B0E04" w14:paraId="6C1C48FB" w14:textId="77777777" w:rsidTr="00B02D57">
        <w:tc>
          <w:tcPr>
            <w:tcW w:w="3268" w:type="pct"/>
            <w:vAlign w:val="center"/>
          </w:tcPr>
          <w:p w14:paraId="69E289C7" w14:textId="14D7304B" w:rsidR="003B0E04" w:rsidRPr="00B02D57" w:rsidRDefault="003B0E04" w:rsidP="00EF4F63">
            <w:pPr>
              <w:jc w:val="center"/>
              <w:rPr>
                <w:b/>
                <w:bCs w:val="0"/>
                <w:lang w:val="en-US"/>
              </w:rPr>
            </w:pPr>
            <w:r w:rsidRPr="00B02D57">
              <w:rPr>
                <w:b/>
                <w:bCs w:val="0"/>
                <w:lang w:val="en-US"/>
              </w:rPr>
              <w:t>Factor</w:t>
            </w:r>
          </w:p>
        </w:tc>
        <w:tc>
          <w:tcPr>
            <w:tcW w:w="1732" w:type="pct"/>
            <w:vAlign w:val="center"/>
          </w:tcPr>
          <w:p w14:paraId="32CC8BCF" w14:textId="5D338171" w:rsidR="003B0E04" w:rsidRPr="00B02D57" w:rsidRDefault="003B0E04" w:rsidP="00EF4F63">
            <w:pPr>
              <w:jc w:val="center"/>
              <w:rPr>
                <w:b/>
                <w:bCs w:val="0"/>
                <w:lang w:val="en-US"/>
              </w:rPr>
            </w:pPr>
            <w:r w:rsidRPr="00B02D57">
              <w:rPr>
                <w:b/>
                <w:bCs w:val="0"/>
                <w:lang w:val="en-US"/>
              </w:rPr>
              <w:t>Estimated Value (within scenario)</w:t>
            </w:r>
          </w:p>
        </w:tc>
      </w:tr>
      <w:tr w:rsidR="003B0E04" w14:paraId="77AFB8B0" w14:textId="77777777" w:rsidTr="00B02D57">
        <w:tc>
          <w:tcPr>
            <w:tcW w:w="3268" w:type="pct"/>
          </w:tcPr>
          <w:p w14:paraId="1428BBA6" w14:textId="218233B4" w:rsidR="003B0E04" w:rsidRDefault="003B0E04" w:rsidP="003B0E04">
            <w:pPr>
              <w:jc w:val="both"/>
              <w:rPr>
                <w:lang w:val="en-US"/>
              </w:rPr>
            </w:pPr>
            <w:r>
              <w:rPr>
                <w:lang w:val="en-US"/>
              </w:rPr>
              <w:t>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Pr>
                <w:lang w:val="en-US"/>
              </w:rPr>
              <w:t>)</w:t>
            </w:r>
          </w:p>
        </w:tc>
        <w:tc>
          <w:tcPr>
            <w:tcW w:w="1732" w:type="pct"/>
          </w:tcPr>
          <w:p w14:paraId="79B38985" w14:textId="7C666AD0" w:rsidR="003B0E04" w:rsidRDefault="003B0E04" w:rsidP="003B0E04">
            <w:pPr>
              <w:jc w:val="both"/>
              <w:rPr>
                <w:lang w:val="en-US"/>
              </w:rPr>
            </w:pPr>
            <w:r>
              <w:rPr>
                <w:lang w:val="en-US"/>
              </w:rPr>
              <w:t>13,149</w:t>
            </w:r>
          </w:p>
        </w:tc>
      </w:tr>
      <w:tr w:rsidR="00194A73" w14:paraId="2AACA230" w14:textId="77777777" w:rsidTr="00B02D57">
        <w:tc>
          <w:tcPr>
            <w:tcW w:w="3268" w:type="pct"/>
          </w:tcPr>
          <w:p w14:paraId="5D6854D5" w14:textId="16A7F4A9" w:rsidR="00194A73" w:rsidRDefault="00194A73" w:rsidP="009A32C7">
            <w:pPr>
              <w:jc w:val="both"/>
              <w:rPr>
                <w:lang w:val="en-US"/>
              </w:rPr>
            </w:pPr>
            <w:r>
              <w:rPr>
                <w:lang w:val="en-US"/>
              </w:rPr>
              <w:t>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p>
        </w:tc>
        <w:tc>
          <w:tcPr>
            <w:tcW w:w="1732" w:type="pct"/>
          </w:tcPr>
          <w:p w14:paraId="068B579C" w14:textId="09D9605F" w:rsidR="00194A73" w:rsidRDefault="00303E05" w:rsidP="009A32C7">
            <w:pPr>
              <w:jc w:val="both"/>
              <w:rPr>
                <w:lang w:val="en-US"/>
              </w:rPr>
            </w:pPr>
            <w:r>
              <w:rPr>
                <w:lang w:val="en-US"/>
              </w:rPr>
              <w:t>681</w:t>
            </w:r>
          </w:p>
        </w:tc>
      </w:tr>
      <w:tr w:rsidR="00194A73" w14:paraId="06127C66" w14:textId="77777777" w:rsidTr="00B02D57">
        <w:tc>
          <w:tcPr>
            <w:tcW w:w="3268" w:type="pct"/>
          </w:tcPr>
          <w:p w14:paraId="0B41214A" w14:textId="2EC83DE9" w:rsidR="00194A73" w:rsidRDefault="00194A73" w:rsidP="009A32C7">
            <w:pPr>
              <w:jc w:val="both"/>
              <w:rPr>
                <w:lang w:val="en-US"/>
              </w:rPr>
            </w:pPr>
            <w:r>
              <w:rPr>
                <w:lang w:val="en-US"/>
              </w:rPr>
              <w:t>Total IQC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w:t>
            </w:r>
          </w:p>
        </w:tc>
        <w:tc>
          <w:tcPr>
            <w:tcW w:w="1732" w:type="pct"/>
          </w:tcPr>
          <w:p w14:paraId="5CA6CCFA" w14:textId="6EBA1709" w:rsidR="00194A73" w:rsidRDefault="00194A73" w:rsidP="009A32C7">
            <w:pPr>
              <w:jc w:val="both"/>
              <w:rPr>
                <w:lang w:val="en-US"/>
              </w:rPr>
            </w:pPr>
            <w:r>
              <w:rPr>
                <w:lang w:val="en-US"/>
              </w:rPr>
              <w:t>9,746</w:t>
            </w:r>
          </w:p>
        </w:tc>
      </w:tr>
      <w:tr w:rsidR="00303E05" w14:paraId="7E3419D6" w14:textId="77777777" w:rsidTr="00B02D57">
        <w:tc>
          <w:tcPr>
            <w:tcW w:w="3268" w:type="pct"/>
          </w:tcPr>
          <w:p w14:paraId="1D79C497" w14:textId="0FF850BE" w:rsidR="00303E05" w:rsidRDefault="00303E05" w:rsidP="009A32C7">
            <w:pPr>
              <w:jc w:val="both"/>
              <w:rPr>
                <w:lang w:val="en-US"/>
              </w:rPr>
            </w:pPr>
            <w:r>
              <w:rPr>
                <w:lang w:val="en-US"/>
              </w:rPr>
              <w:t>Available IQC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Pr>
                <w:lang w:val="en-US"/>
              </w:rPr>
              <w:t>)</w:t>
            </w:r>
          </w:p>
        </w:tc>
        <w:tc>
          <w:tcPr>
            <w:tcW w:w="1732" w:type="pct"/>
          </w:tcPr>
          <w:p w14:paraId="637798F7" w14:textId="3B5028C3" w:rsidR="00303E05" w:rsidRDefault="00303E05" w:rsidP="009A32C7">
            <w:pPr>
              <w:jc w:val="both"/>
              <w:rPr>
                <w:lang w:val="en-US"/>
              </w:rPr>
            </w:pPr>
            <w:r>
              <w:rPr>
                <w:lang w:val="en-US"/>
              </w:rPr>
              <w:t>5,995</w:t>
            </w:r>
          </w:p>
        </w:tc>
      </w:tr>
      <w:tr w:rsidR="00194A73" w14:paraId="2005A4E7" w14:textId="77777777" w:rsidTr="00B02D57">
        <w:tc>
          <w:tcPr>
            <w:tcW w:w="3268" w:type="pct"/>
          </w:tcPr>
          <w:p w14:paraId="40584332" w14:textId="54B5926F" w:rsidR="00194A73" w:rsidRDefault="00194A73" w:rsidP="009A32C7">
            <w:pPr>
              <w:jc w:val="both"/>
              <w:rPr>
                <w:lang w:val="en-US"/>
              </w:rPr>
            </w:pPr>
            <w:r>
              <w:rPr>
                <w:lang w:val="en-US"/>
              </w:rPr>
              <w:t xml:space="preserve">Total </w:t>
            </w:r>
            <w:r w:rsidR="00303E05">
              <w:rPr>
                <w:lang w:val="en-US"/>
              </w:rPr>
              <w:t xml:space="preserve">Available </w:t>
            </w:r>
            <w:r>
              <w:rPr>
                <w:lang w:val="en-US"/>
              </w:rPr>
              <w:t>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Pr>
                <w:lang w:val="en-US"/>
              </w:rPr>
              <w:t>)</w:t>
            </w:r>
          </w:p>
        </w:tc>
        <w:tc>
          <w:tcPr>
            <w:tcW w:w="1732" w:type="pct"/>
          </w:tcPr>
          <w:p w14:paraId="1516A005" w14:textId="0790B0E9" w:rsidR="00194A73" w:rsidRDefault="00303E05" w:rsidP="009A32C7">
            <w:pPr>
              <w:jc w:val="both"/>
              <w:rPr>
                <w:lang w:val="en-US"/>
              </w:rPr>
            </w:pPr>
            <w:r>
              <w:rPr>
                <w:lang w:val="en-US"/>
              </w:rPr>
              <w:t>6,676</w:t>
            </w:r>
          </w:p>
        </w:tc>
      </w:tr>
    </w:tbl>
    <w:p w14:paraId="6878DDF8" w14:textId="77777777" w:rsidR="00C15C64" w:rsidRPr="00FC0AC4" w:rsidRDefault="00C15C64" w:rsidP="00C15C64">
      <w:pPr>
        <w:rPr>
          <w:lang w:val="en-US"/>
        </w:rPr>
      </w:pPr>
    </w:p>
    <w:p w14:paraId="7FE85A44" w14:textId="66BC537C" w:rsidR="00C15C64" w:rsidRDefault="00C15C64" w:rsidP="00B02D57">
      <w:pPr>
        <w:pStyle w:val="UOB-Subheadings"/>
        <w:rPr>
          <w:lang w:val="en-US"/>
        </w:rPr>
      </w:pPr>
      <w:bookmarkStart w:id="90" w:name="_Toc59172927"/>
      <w:r>
        <w:rPr>
          <w:lang w:val="en-US"/>
        </w:rPr>
        <w:lastRenderedPageBreak/>
        <w:t>Hospitalized Cases</w:t>
      </w:r>
      <w:r w:rsidR="00B37834">
        <w:rPr>
          <w:lang w:val="en-US"/>
        </w:rPr>
        <w:t xml:space="preserve"> (Current </w:t>
      </w:r>
      <w:r w:rsidR="000E5971">
        <w:rPr>
          <w:lang w:val="en-US"/>
        </w:rPr>
        <w:t>versus</w:t>
      </w:r>
      <w:r w:rsidR="00B37834">
        <w:rPr>
          <w:lang w:val="en-US"/>
        </w:rPr>
        <w:t xml:space="preserve"> Projected)</w:t>
      </w:r>
      <w:bookmarkEnd w:id="90"/>
    </w:p>
    <w:p w14:paraId="316774CD" w14:textId="080B5413" w:rsidR="005825D8" w:rsidRDefault="0063128F" w:rsidP="0063128F">
      <w:pPr>
        <w:ind w:firstLine="576"/>
        <w:jc w:val="both"/>
      </w:pPr>
      <w:r>
        <w:t xml:space="preserve">The current </w:t>
      </w:r>
      <w:r w:rsidR="008561D2">
        <w:t xml:space="preserve">number </w:t>
      </w:r>
      <w:r>
        <w:t>hospitalized cases</w:t>
      </w:r>
      <w:r w:rsidR="008F2B93">
        <w:t>, as well as the current active cases,</w:t>
      </w:r>
      <w:r>
        <w:t xml:space="preserve"> </w:t>
      </w:r>
      <w:r w:rsidR="008F2B93">
        <w:t xml:space="preserve">are </w:t>
      </w:r>
      <w:r>
        <w:t>important factor</w:t>
      </w:r>
      <w:r w:rsidR="008F2B93">
        <w:t>s</w:t>
      </w:r>
      <w:r>
        <w:t xml:space="preserve"> as </w:t>
      </w:r>
      <w:r w:rsidR="008F2B93">
        <w:t xml:space="preserve">they </w:t>
      </w:r>
      <w:r>
        <w:t>will determine the current hospitalization rate that will be used to project the hospitalized cases from the projected total number of cases</w:t>
      </w:r>
      <w:r w:rsidR="00D17F78">
        <w:t xml:space="preserve">. </w:t>
      </w:r>
    </w:p>
    <w:p w14:paraId="0FA3A471" w14:textId="4CBA4013" w:rsidR="0063128F" w:rsidRDefault="00D17F78" w:rsidP="0063128F">
      <w:pPr>
        <w:ind w:firstLine="576"/>
        <w:jc w:val="both"/>
        <w:rPr>
          <w:sz w:val="26"/>
          <w:szCs w:val="22"/>
          <w:lang w:val="en-US"/>
        </w:rPr>
      </w:pPr>
      <w:r>
        <w:t>Based on the implemented statistical analysis, the current hospitalization rate (</w:t>
      </w:r>
      <m:oMath>
        <m:r>
          <w:rPr>
            <w:rFonts w:ascii="Cambria Math" w:hAnsi="Cambria Math" w:cs="Times New Roman"/>
            <w:sz w:val="26"/>
            <w:szCs w:val="22"/>
            <w:lang w:val="en-US"/>
          </w:rPr>
          <m:t>HR</m:t>
        </m:r>
      </m:oMath>
      <w:r>
        <w:t xml:space="preserve">) stands at approximately </w:t>
      </w:r>
      <m:oMath>
        <m:r>
          <w:rPr>
            <w:rFonts w:ascii="Cambria Math" w:hAnsi="Cambria Math" w:cs="Times New Roman"/>
            <w:sz w:val="26"/>
            <w:szCs w:val="22"/>
            <w:lang w:val="en-US"/>
          </w:rPr>
          <m:t>0.03%</m:t>
        </m:r>
      </m:oMath>
      <w:r w:rsidR="007A072A">
        <w:rPr>
          <w:sz w:val="26"/>
          <w:szCs w:val="22"/>
          <w:lang w:val="en-US"/>
        </w:rPr>
        <w:t>.</w:t>
      </w:r>
      <w:r w:rsidR="00604065">
        <w:rPr>
          <w:sz w:val="26"/>
          <w:szCs w:val="22"/>
          <w:lang w:val="en-US"/>
        </w:rPr>
        <w:t xml:space="preserve"> Presented below in </w:t>
      </w:r>
      <w:r w:rsidR="00B359E7" w:rsidRPr="00B359E7">
        <w:rPr>
          <w:b/>
          <w:bCs w:val="0"/>
          <w:sz w:val="26"/>
          <w:szCs w:val="22"/>
          <w:lang w:val="en-US"/>
        </w:rPr>
        <w:fldChar w:fldCharType="begin"/>
      </w:r>
      <w:r w:rsidR="00B359E7" w:rsidRPr="00B359E7">
        <w:rPr>
          <w:b/>
          <w:bCs w:val="0"/>
          <w:sz w:val="26"/>
          <w:szCs w:val="22"/>
          <w:lang w:val="en-US"/>
        </w:rPr>
        <w:instrText xml:space="preserve"> REF _Ref59157872 \h </w:instrText>
      </w:r>
      <w:r w:rsidR="00B359E7">
        <w:rPr>
          <w:b/>
          <w:bCs w:val="0"/>
          <w:sz w:val="26"/>
          <w:szCs w:val="22"/>
          <w:lang w:val="en-US"/>
        </w:rPr>
        <w:instrText xml:space="preserve"> \* MERGEFORMAT </w:instrText>
      </w:r>
      <w:r w:rsidR="00B359E7" w:rsidRPr="00B359E7">
        <w:rPr>
          <w:b/>
          <w:bCs w:val="0"/>
          <w:sz w:val="26"/>
          <w:szCs w:val="22"/>
          <w:lang w:val="en-US"/>
        </w:rPr>
      </w:r>
      <w:r w:rsidR="00B359E7" w:rsidRPr="00B359E7">
        <w:rPr>
          <w:b/>
          <w:bCs w:val="0"/>
          <w:sz w:val="26"/>
          <w:szCs w:val="22"/>
          <w:lang w:val="en-US"/>
        </w:rPr>
        <w:fldChar w:fldCharType="separate"/>
      </w:r>
      <w:r w:rsidR="00B359E7" w:rsidRPr="00B359E7">
        <w:rPr>
          <w:b/>
          <w:bCs w:val="0"/>
        </w:rPr>
        <w:t xml:space="preserve">Fig. </w:t>
      </w:r>
      <w:r w:rsidR="00B359E7" w:rsidRPr="00B359E7">
        <w:rPr>
          <w:b/>
          <w:bCs w:val="0"/>
          <w:noProof/>
        </w:rPr>
        <w:t>6</w:t>
      </w:r>
      <w:r w:rsidR="00B359E7" w:rsidRPr="00B359E7">
        <w:rPr>
          <w:b/>
          <w:bCs w:val="0"/>
          <w:sz w:val="26"/>
          <w:szCs w:val="22"/>
          <w:lang w:val="en-US"/>
        </w:rPr>
        <w:fldChar w:fldCharType="end"/>
      </w:r>
      <w:r w:rsidR="00604065">
        <w:rPr>
          <w:sz w:val="26"/>
          <w:szCs w:val="22"/>
          <w:lang w:val="en-US"/>
        </w:rPr>
        <w:t xml:space="preserve">, is the result of using the current </w:t>
      </w:r>
      <m:oMath>
        <m:r>
          <w:rPr>
            <w:rFonts w:ascii="Cambria Math" w:hAnsi="Cambria Math" w:cs="Times New Roman"/>
            <w:sz w:val="26"/>
            <w:szCs w:val="22"/>
            <w:lang w:val="en-US"/>
          </w:rPr>
          <m:t>HR</m:t>
        </m:r>
      </m:oMath>
      <w:r w:rsidR="00604065">
        <w:rPr>
          <w:sz w:val="26"/>
          <w:szCs w:val="22"/>
          <w:lang w:val="en-US"/>
        </w:rPr>
        <w:t xml:space="preserve"> and applying it on every day for the projected timeframe of three months (90 days)</w:t>
      </w:r>
      <w:r w:rsidR="00A80CCD">
        <w:rPr>
          <w:sz w:val="26"/>
          <w:szCs w:val="22"/>
          <w:lang w:val="en-US"/>
        </w:rPr>
        <w:t xml:space="preserve"> to estimate the hospitalized cases</w:t>
      </w:r>
      <w:r w:rsidR="00556A4E">
        <w:rPr>
          <w:sz w:val="26"/>
          <w:szCs w:val="22"/>
          <w:lang w:val="en-US"/>
        </w:rPr>
        <w:t xml:space="preserve"> (represented on the y-axis of the right graph) </w:t>
      </w:r>
      <w:r w:rsidR="00560BCE">
        <w:rPr>
          <w:sz w:val="26"/>
          <w:szCs w:val="22"/>
          <w:lang w:val="en-US"/>
        </w:rPr>
        <w:t>based on the projected</w:t>
      </w:r>
      <w:r w:rsidR="002A44DF">
        <w:rPr>
          <w:sz w:val="26"/>
          <w:szCs w:val="22"/>
          <w:lang w:val="en-US"/>
        </w:rPr>
        <w:t xml:space="preserve"> total</w:t>
      </w:r>
      <w:r w:rsidR="00560BCE">
        <w:rPr>
          <w:sz w:val="26"/>
          <w:szCs w:val="22"/>
          <w:lang w:val="en-US"/>
        </w:rPr>
        <w:t xml:space="preserve"> cases</w:t>
      </w:r>
      <w:r w:rsidR="00A9265C">
        <w:rPr>
          <w:sz w:val="26"/>
          <w:szCs w:val="22"/>
          <w:lang w:val="en-US"/>
        </w:rPr>
        <w:t xml:space="preserve"> </w:t>
      </w:r>
      <w:r w:rsidR="00560BCE">
        <w:rPr>
          <w:sz w:val="26"/>
          <w:szCs w:val="22"/>
          <w:lang w:val="en-US"/>
        </w:rPr>
        <w:t>(represented on the y-axis</w:t>
      </w:r>
      <w:r w:rsidR="00556A4E">
        <w:rPr>
          <w:sz w:val="26"/>
          <w:szCs w:val="22"/>
          <w:lang w:val="en-US"/>
        </w:rPr>
        <w:t xml:space="preserve"> of the left graph</w:t>
      </w:r>
      <w:r w:rsidR="00560BCE">
        <w:rPr>
          <w:sz w:val="26"/>
          <w:szCs w:val="22"/>
          <w:lang w:val="en-US"/>
        </w:rPr>
        <w:t xml:space="preserve">) </w:t>
      </w:r>
      <w:r w:rsidR="00A9265C">
        <w:rPr>
          <w:sz w:val="26"/>
          <w:szCs w:val="22"/>
          <w:lang w:val="en-US"/>
        </w:rPr>
        <w:t>for the given day</w:t>
      </w:r>
      <w:r w:rsidR="00D5402A">
        <w:rPr>
          <w:sz w:val="26"/>
          <w:szCs w:val="22"/>
          <w:lang w:val="en-US"/>
        </w:rPr>
        <w:t xml:space="preserve"> number</w:t>
      </w:r>
      <w:r w:rsidR="00A9265C">
        <w:rPr>
          <w:sz w:val="26"/>
          <w:szCs w:val="22"/>
          <w:lang w:val="en-US"/>
        </w:rPr>
        <w:t xml:space="preserve"> (</w:t>
      </w:r>
      <w:r w:rsidR="00BB4886">
        <w:rPr>
          <w:sz w:val="26"/>
          <w:szCs w:val="22"/>
          <w:lang w:val="en-US"/>
        </w:rPr>
        <w:t>re</w:t>
      </w:r>
      <w:r w:rsidR="00A9265C">
        <w:rPr>
          <w:sz w:val="26"/>
          <w:szCs w:val="22"/>
          <w:lang w:val="en-US"/>
        </w:rPr>
        <w:t>presented on the x-axis)</w:t>
      </w:r>
      <w:r w:rsidR="00604065">
        <w:rPr>
          <w:sz w:val="26"/>
          <w:szCs w:val="22"/>
          <w:lang w:val="en-US"/>
        </w:rPr>
        <w:t>.</w:t>
      </w:r>
      <w:r w:rsidR="009A32C7">
        <w:rPr>
          <w:sz w:val="26"/>
          <w:szCs w:val="22"/>
          <w:lang w:val="en-US"/>
        </w:rPr>
        <w:t xml:space="preserve"> For example, it can be seen from the following graph that on the 240</w:t>
      </w:r>
      <w:r w:rsidR="009A32C7" w:rsidRPr="009A32C7">
        <w:rPr>
          <w:sz w:val="26"/>
          <w:szCs w:val="22"/>
          <w:vertAlign w:val="superscript"/>
          <w:lang w:val="en-US"/>
        </w:rPr>
        <w:t>th</w:t>
      </w:r>
      <w:r w:rsidR="009A32C7">
        <w:rPr>
          <w:sz w:val="26"/>
          <w:szCs w:val="22"/>
          <w:lang w:val="en-US"/>
        </w:rPr>
        <w:t xml:space="preserve"> day after the first reported case (which is </w:t>
      </w:r>
      <w:r w:rsidR="001B57EA">
        <w:rPr>
          <w:sz w:val="26"/>
          <w:szCs w:val="22"/>
          <w:lang w:val="en-US"/>
        </w:rPr>
        <w:t>the 21</w:t>
      </w:r>
      <w:r w:rsidR="001B57EA" w:rsidRPr="001B57EA">
        <w:rPr>
          <w:sz w:val="26"/>
          <w:szCs w:val="22"/>
          <w:vertAlign w:val="superscript"/>
          <w:lang w:val="en-US"/>
        </w:rPr>
        <w:t>st</w:t>
      </w:r>
      <w:r w:rsidR="001B57EA">
        <w:rPr>
          <w:sz w:val="26"/>
          <w:szCs w:val="22"/>
          <w:lang w:val="en-US"/>
        </w:rPr>
        <w:t xml:space="preserve"> of October 2020</w:t>
      </w:r>
      <w:r w:rsidR="00657616">
        <w:rPr>
          <w:sz w:val="26"/>
          <w:szCs w:val="22"/>
          <w:lang w:val="en-US"/>
        </w:rPr>
        <w:t>),</w:t>
      </w:r>
      <w:r w:rsidR="001B57EA">
        <w:rPr>
          <w:sz w:val="26"/>
          <w:szCs w:val="22"/>
          <w:lang w:val="en-US"/>
        </w:rPr>
        <w:t xml:space="preserve"> based on the generate logistic model, the projected total cases will reach approximately 47,000 while the total number of hospitalized cases will reach approximately</w:t>
      </w:r>
      <w:r w:rsidR="00FC1FC2">
        <w:rPr>
          <w:sz w:val="26"/>
          <w:szCs w:val="22"/>
          <w:lang w:val="en-US"/>
        </w:rPr>
        <w:t xml:space="preserve"> a little over</w:t>
      </w:r>
      <w:r w:rsidR="001B57EA">
        <w:rPr>
          <w:sz w:val="26"/>
          <w:szCs w:val="22"/>
          <w:lang w:val="en-US"/>
        </w:rPr>
        <w:t xml:space="preserve"> 1,350.</w:t>
      </w:r>
    </w:p>
    <w:p w14:paraId="2CF0265F" w14:textId="77777777" w:rsidR="00B359E7" w:rsidRDefault="00B359E7" w:rsidP="00C95C4B">
      <w:pPr>
        <w:keepNext/>
        <w:spacing w:line="276" w:lineRule="auto"/>
        <w:jc w:val="both"/>
      </w:pPr>
      <w:r>
        <w:rPr>
          <w:noProof/>
        </w:rPr>
        <w:drawing>
          <wp:inline distT="0" distB="0" distL="0" distR="0" wp14:anchorId="005CE03C" wp14:editId="036EF71D">
            <wp:extent cx="5303520" cy="3317278"/>
            <wp:effectExtent l="19050" t="19050" r="1143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219" r="4416" b="2821"/>
                    <a:stretch/>
                  </pic:blipFill>
                  <pic:spPr bwMode="auto">
                    <a:xfrm>
                      <a:off x="0" y="0"/>
                      <a:ext cx="5303520" cy="33172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F5E720" w14:textId="758FC2E6" w:rsidR="00B359E7" w:rsidRPr="00B359E7" w:rsidRDefault="00B359E7" w:rsidP="00B359E7">
      <w:pPr>
        <w:pStyle w:val="UOB-FigStyle"/>
        <w:rPr>
          <w:b w:val="0"/>
          <w:bCs/>
          <w:sz w:val="26"/>
          <w:szCs w:val="22"/>
          <w:lang w:val="en-US"/>
        </w:rPr>
      </w:pPr>
      <w:bookmarkStart w:id="91" w:name="_Ref59157872"/>
      <w:bookmarkStart w:id="92" w:name="_Toc59172942"/>
      <w:r>
        <w:t xml:space="preserve">Fig. </w:t>
      </w:r>
      <w:r>
        <w:fldChar w:fldCharType="begin"/>
      </w:r>
      <w:r>
        <w:instrText xml:space="preserve"> SEQ Fig. \* ARABIC </w:instrText>
      </w:r>
      <w:r>
        <w:fldChar w:fldCharType="separate"/>
      </w:r>
      <w:r w:rsidR="00C95C4B">
        <w:rPr>
          <w:noProof/>
        </w:rPr>
        <w:t>6</w:t>
      </w:r>
      <w:r>
        <w:fldChar w:fldCharType="end"/>
      </w:r>
      <w:bookmarkEnd w:id="91"/>
      <w:r>
        <w:rPr>
          <w:lang w:val="en-US"/>
        </w:rPr>
        <w:t>:</w:t>
      </w:r>
      <w:r w:rsidRPr="00B359E7">
        <w:rPr>
          <w:b w:val="0"/>
          <w:bCs/>
          <w:lang w:val="en-US"/>
        </w:rPr>
        <w:t xml:space="preserve"> Projected Cases and Hospitalized Cases</w:t>
      </w:r>
      <w:bookmarkEnd w:id="92"/>
    </w:p>
    <w:p w14:paraId="2881E9BA" w14:textId="2D672BCE" w:rsidR="00AF7BDA" w:rsidRDefault="00A12494" w:rsidP="00A12494">
      <w:pPr>
        <w:ind w:firstLine="576"/>
        <w:jc w:val="both"/>
      </w:pPr>
      <w:r>
        <w:lastRenderedPageBreak/>
        <w:t xml:space="preserve">Using the projected hospitalized cases </w:t>
      </w:r>
      <w:r w:rsidR="008A16FC">
        <w:t>and deducting the</w:t>
      </w:r>
      <w:r w:rsidR="00D14560">
        <w:t>se</w:t>
      </w:r>
      <w:r w:rsidR="008A16FC">
        <w:t xml:space="preserve"> cases from the current total available beds calculated previously, this will provide a</w:t>
      </w:r>
      <w:r w:rsidR="00AF7BDA">
        <w:t xml:space="preserve"> projected number of available beds </w:t>
      </w:r>
      <w:r w:rsidR="00D14560">
        <w:t>(</w:t>
      </w:r>
      <w:r w:rsidR="00AF7BDA">
        <w:t xml:space="preserve">after the </w:t>
      </w:r>
      <w:r w:rsidR="00D14560">
        <w:t xml:space="preserve">available </w:t>
      </w:r>
      <w:r w:rsidR="00AF7BDA">
        <w:t xml:space="preserve">beds have consumed </w:t>
      </w:r>
      <w:r w:rsidR="00D14560">
        <w:t xml:space="preserve">to serve the cases) </w:t>
      </w:r>
      <w:r w:rsidR="00AF7BDA">
        <w:t>for that given date</w:t>
      </w:r>
      <w:r w:rsidR="00861D14">
        <w:t xml:space="preserve">. The below figure, </w:t>
      </w:r>
      <w:r w:rsidR="00C84690" w:rsidRPr="00C84690">
        <w:rPr>
          <w:b/>
          <w:bCs w:val="0"/>
        </w:rPr>
        <w:fldChar w:fldCharType="begin"/>
      </w:r>
      <w:r w:rsidR="00C84690" w:rsidRPr="00C84690">
        <w:rPr>
          <w:b/>
          <w:bCs w:val="0"/>
        </w:rPr>
        <w:instrText xml:space="preserve"> REF _Ref59159483 \h </w:instrText>
      </w:r>
      <w:r w:rsidR="00C84690">
        <w:rPr>
          <w:b/>
          <w:bCs w:val="0"/>
        </w:rPr>
        <w:instrText xml:space="preserve"> \* MERGEFORMAT </w:instrText>
      </w:r>
      <w:r w:rsidR="00C84690" w:rsidRPr="00C84690">
        <w:rPr>
          <w:b/>
          <w:bCs w:val="0"/>
        </w:rPr>
      </w:r>
      <w:r w:rsidR="00C84690" w:rsidRPr="00C84690">
        <w:rPr>
          <w:b/>
          <w:bCs w:val="0"/>
        </w:rPr>
        <w:fldChar w:fldCharType="separate"/>
      </w:r>
      <w:r w:rsidR="00C84690" w:rsidRPr="00C84690">
        <w:rPr>
          <w:b/>
          <w:bCs w:val="0"/>
        </w:rPr>
        <w:t xml:space="preserve">Fig. </w:t>
      </w:r>
      <w:r w:rsidR="00C84690" w:rsidRPr="00C84690">
        <w:rPr>
          <w:b/>
          <w:bCs w:val="0"/>
          <w:noProof/>
        </w:rPr>
        <w:t>7</w:t>
      </w:r>
      <w:r w:rsidR="00C84690" w:rsidRPr="00C84690">
        <w:rPr>
          <w:b/>
          <w:bCs w:val="0"/>
        </w:rPr>
        <w:fldChar w:fldCharType="end"/>
      </w:r>
      <w:r w:rsidR="00861D14">
        <w:t xml:space="preserve">, presents the results of the projected hospitalized cases (represented on the y-axis of the left graph) and the projected number of available beds (represented on the y-axis of the right graph) </w:t>
      </w:r>
      <w:r w:rsidR="00C84690">
        <w:t>for each given day (represented on the x-axis).</w:t>
      </w:r>
      <w:r w:rsidR="00F850F3">
        <w:t xml:space="preserve"> It can be noted that the lowest number of projected available beds will approximately reach 5,300 which is significantly higher than maximum number of projected hospitalized cases at approximately 1,350. This is because the simple statistical analysis implemented deducts the hospitalized cases on that day from the current available beds. For example, on the 240</w:t>
      </w:r>
      <w:r w:rsidR="00F850F3" w:rsidRPr="00F850F3">
        <w:rPr>
          <w:vertAlign w:val="superscript"/>
        </w:rPr>
        <w:t>th</w:t>
      </w:r>
      <w:r w:rsidR="00F850F3">
        <w:t xml:space="preserve"> day (21</w:t>
      </w:r>
      <w:r w:rsidR="00F850F3" w:rsidRPr="00F850F3">
        <w:rPr>
          <w:vertAlign w:val="superscript"/>
        </w:rPr>
        <w:t>st</w:t>
      </w:r>
      <w:r w:rsidR="00F850F3">
        <w:t xml:space="preserve"> of October 2020) the projected hospitalized cases will be approximately 1,350 – which after deducted from the current total available beds (6,676) will mean </w:t>
      </w:r>
      <w:r w:rsidR="002A44DF">
        <w:t xml:space="preserve">that </w:t>
      </w:r>
      <w:r w:rsidR="00F850F3">
        <w:t xml:space="preserve">there </w:t>
      </w:r>
      <w:r w:rsidR="002A44DF">
        <w:t xml:space="preserve">is </w:t>
      </w:r>
      <w:r w:rsidR="00F850F3">
        <w:t>a surplus of approximately 5,320 total available beds.</w:t>
      </w:r>
    </w:p>
    <w:p w14:paraId="4DFB8825" w14:textId="77777777" w:rsidR="00C84690" w:rsidRDefault="00D14560" w:rsidP="00C95C4B">
      <w:pPr>
        <w:keepNext/>
        <w:spacing w:line="276" w:lineRule="auto"/>
        <w:jc w:val="both"/>
      </w:pPr>
      <w:r>
        <w:rPr>
          <w:noProof/>
        </w:rPr>
        <w:drawing>
          <wp:inline distT="0" distB="0" distL="0" distR="0" wp14:anchorId="6EFFB19D" wp14:editId="27EBD0FC">
            <wp:extent cx="5303480" cy="3328416"/>
            <wp:effectExtent l="19050" t="19050" r="1206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219" r="4425" b="2543"/>
                    <a:stretch/>
                  </pic:blipFill>
                  <pic:spPr bwMode="auto">
                    <a:xfrm>
                      <a:off x="0" y="0"/>
                      <a:ext cx="5303520" cy="33284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639CCEE" w14:textId="456EE635" w:rsidR="00D14560" w:rsidRPr="00C84690" w:rsidRDefault="00C84690" w:rsidP="00C84690">
      <w:pPr>
        <w:pStyle w:val="UOB-FigStyle"/>
        <w:rPr>
          <w:b w:val="0"/>
          <w:bCs/>
        </w:rPr>
      </w:pPr>
      <w:bookmarkStart w:id="93" w:name="_Ref59159483"/>
      <w:bookmarkStart w:id="94" w:name="_Toc59172943"/>
      <w:r>
        <w:t xml:space="preserve">Fig. </w:t>
      </w:r>
      <w:r>
        <w:fldChar w:fldCharType="begin"/>
      </w:r>
      <w:r>
        <w:instrText xml:space="preserve"> SEQ Fig. \* ARABIC </w:instrText>
      </w:r>
      <w:r>
        <w:fldChar w:fldCharType="separate"/>
      </w:r>
      <w:r w:rsidR="00C95C4B">
        <w:rPr>
          <w:noProof/>
        </w:rPr>
        <w:t>7</w:t>
      </w:r>
      <w:r>
        <w:fldChar w:fldCharType="end"/>
      </w:r>
      <w:bookmarkEnd w:id="93"/>
      <w:r>
        <w:rPr>
          <w:lang w:val="en-US"/>
        </w:rPr>
        <w:t>:</w:t>
      </w:r>
      <w:r w:rsidRPr="00C84690">
        <w:rPr>
          <w:b w:val="0"/>
          <w:bCs/>
          <w:lang w:val="en-US"/>
        </w:rPr>
        <w:t xml:space="preserve"> Projected Hospitalized Cases and Available Beds</w:t>
      </w:r>
      <w:bookmarkEnd w:id="94"/>
    </w:p>
    <w:p w14:paraId="725EDD70" w14:textId="4235E15C" w:rsidR="00B66B1A" w:rsidRDefault="00450D2B" w:rsidP="00E519AC">
      <w:pPr>
        <w:ind w:firstLine="576"/>
        <w:jc w:val="both"/>
        <w:rPr>
          <w:lang w:val="en-US"/>
        </w:rPr>
      </w:pPr>
      <w:r>
        <w:rPr>
          <w:lang w:val="en-US"/>
        </w:rPr>
        <w:lastRenderedPageBreak/>
        <w:t>To conclude the results, the below figure</w:t>
      </w:r>
      <w:r w:rsidR="00A76623">
        <w:rPr>
          <w:lang w:val="en-US"/>
        </w:rPr>
        <w:t xml:space="preserve">, </w:t>
      </w:r>
      <w:r w:rsidR="00A76623" w:rsidRPr="00A76623">
        <w:rPr>
          <w:b/>
          <w:bCs w:val="0"/>
          <w:lang w:val="en-US"/>
        </w:rPr>
        <w:fldChar w:fldCharType="begin"/>
      </w:r>
      <w:r w:rsidR="00A76623" w:rsidRPr="00A76623">
        <w:rPr>
          <w:b/>
          <w:bCs w:val="0"/>
          <w:lang w:val="en-US"/>
        </w:rPr>
        <w:instrText xml:space="preserve"> REF _Ref59160722 \h </w:instrText>
      </w:r>
      <w:r w:rsidR="00A76623">
        <w:rPr>
          <w:b/>
          <w:bCs w:val="0"/>
          <w:lang w:val="en-US"/>
        </w:rPr>
        <w:instrText xml:space="preserve"> \* MERGEFORMAT </w:instrText>
      </w:r>
      <w:r w:rsidR="00A76623" w:rsidRPr="00A76623">
        <w:rPr>
          <w:b/>
          <w:bCs w:val="0"/>
          <w:lang w:val="en-US"/>
        </w:rPr>
      </w:r>
      <w:r w:rsidR="00A76623" w:rsidRPr="00A76623">
        <w:rPr>
          <w:b/>
          <w:bCs w:val="0"/>
          <w:lang w:val="en-US"/>
        </w:rPr>
        <w:fldChar w:fldCharType="separate"/>
      </w:r>
      <w:r w:rsidR="00A76623" w:rsidRPr="00A76623">
        <w:rPr>
          <w:b/>
          <w:bCs w:val="0"/>
        </w:rPr>
        <w:t xml:space="preserve">Fig. </w:t>
      </w:r>
      <w:r w:rsidR="00A76623" w:rsidRPr="00A76623">
        <w:rPr>
          <w:b/>
          <w:bCs w:val="0"/>
          <w:noProof/>
        </w:rPr>
        <w:t>8</w:t>
      </w:r>
      <w:r w:rsidR="00A76623" w:rsidRPr="00A76623">
        <w:rPr>
          <w:b/>
          <w:bCs w:val="0"/>
          <w:lang w:val="en-US"/>
        </w:rPr>
        <w:fldChar w:fldCharType="end"/>
      </w:r>
      <w:r w:rsidR="00A76623">
        <w:rPr>
          <w:lang w:val="en-US"/>
        </w:rPr>
        <w:t>,</w:t>
      </w:r>
      <w:r>
        <w:rPr>
          <w:lang w:val="en-US"/>
        </w:rPr>
        <w:t xml:space="preserve"> illustrates all graphs displayed side-by-side </w:t>
      </w:r>
      <w:r w:rsidR="004F3B17">
        <w:rPr>
          <w:lang w:val="en-US"/>
        </w:rPr>
        <w:t xml:space="preserve">for </w:t>
      </w:r>
      <w:r>
        <w:rPr>
          <w:lang w:val="en-US"/>
        </w:rPr>
        <w:t xml:space="preserve">comparison purposes </w:t>
      </w:r>
      <w:r w:rsidR="004F3B17">
        <w:rPr>
          <w:lang w:val="en-US"/>
        </w:rPr>
        <w:t>for</w:t>
      </w:r>
      <w:r>
        <w:rPr>
          <w:lang w:val="en-US"/>
        </w:rPr>
        <w:t xml:space="preserve"> the most important research </w:t>
      </w:r>
      <w:r w:rsidR="00E519AC">
        <w:rPr>
          <w:lang w:val="en-US"/>
        </w:rPr>
        <w:t>variables,</w:t>
      </w:r>
      <w:r>
        <w:rPr>
          <w:lang w:val="en-US"/>
        </w:rPr>
        <w:t xml:space="preserve"> starting from the left to right</w:t>
      </w:r>
      <w:r w:rsidR="00E519AC">
        <w:rPr>
          <w:lang w:val="en-US"/>
        </w:rPr>
        <w:t>;</w:t>
      </w:r>
      <w:r>
        <w:rPr>
          <w:lang w:val="en-US"/>
        </w:rPr>
        <w:t xml:space="preserve"> the projected total COVID-19 cases, the projected hospitalized COVID-19 cases, and the projected available beds for each given day in the projected timeframe (three months).</w:t>
      </w:r>
      <w:r w:rsidR="00F8745B">
        <w:rPr>
          <w:lang w:val="en-US"/>
        </w:rPr>
        <w:t xml:space="preserve"> Finally, as per the generated logistic growth model, the values for </w:t>
      </w:r>
      <w:r w:rsidR="0007250B">
        <w:rPr>
          <w:lang w:val="en-US"/>
        </w:rPr>
        <w:t>these</w:t>
      </w:r>
      <w:r w:rsidR="00F8745B">
        <w:rPr>
          <w:lang w:val="en-US"/>
        </w:rPr>
        <w:t xml:space="preserve"> variables on the final day of the projected time-horizo</w:t>
      </w:r>
      <w:r w:rsidR="001F1768">
        <w:rPr>
          <w:lang w:val="en-US"/>
        </w:rPr>
        <w:t xml:space="preserve">n, </w:t>
      </w:r>
      <w:r w:rsidR="00F8745B">
        <w:rPr>
          <w:lang w:val="en-US"/>
        </w:rPr>
        <w:t>the 27</w:t>
      </w:r>
      <w:r w:rsidR="00F8745B" w:rsidRPr="00F8745B">
        <w:rPr>
          <w:vertAlign w:val="superscript"/>
          <w:lang w:val="en-US"/>
        </w:rPr>
        <w:t>th</w:t>
      </w:r>
      <w:r w:rsidR="00F8745B">
        <w:rPr>
          <w:lang w:val="en-US"/>
        </w:rPr>
        <w:t xml:space="preserve"> of October 2020</w:t>
      </w:r>
      <w:r w:rsidR="001F1768">
        <w:rPr>
          <w:lang w:val="en-US"/>
        </w:rPr>
        <w:t>,</w:t>
      </w:r>
      <w:r w:rsidR="0007250B">
        <w:rPr>
          <w:lang w:val="en-US"/>
        </w:rPr>
        <w:t xml:space="preserve"> are:</w:t>
      </w:r>
    </w:p>
    <w:p w14:paraId="256C7C9C" w14:textId="3EBB7FF1" w:rsidR="0007250B" w:rsidRDefault="0007250B" w:rsidP="0007250B">
      <w:pPr>
        <w:pStyle w:val="ListParagraph"/>
        <w:numPr>
          <w:ilvl w:val="0"/>
          <w:numId w:val="12"/>
        </w:numPr>
        <w:jc w:val="both"/>
        <w:rPr>
          <w:lang w:val="en-US"/>
        </w:rPr>
      </w:pPr>
      <w:r>
        <w:rPr>
          <w:lang w:val="en-US"/>
        </w:rPr>
        <w:t xml:space="preserve">Projected COVID-19 Cases: </w:t>
      </w:r>
      <w:r w:rsidRPr="0007250B">
        <w:rPr>
          <w:lang w:val="en-US"/>
        </w:rPr>
        <w:t>47,277</w:t>
      </w:r>
    </w:p>
    <w:p w14:paraId="2FED1F06" w14:textId="5B25087B" w:rsidR="0007250B" w:rsidRDefault="0007250B" w:rsidP="0007250B">
      <w:pPr>
        <w:pStyle w:val="ListParagraph"/>
        <w:numPr>
          <w:ilvl w:val="0"/>
          <w:numId w:val="12"/>
        </w:numPr>
        <w:jc w:val="both"/>
        <w:rPr>
          <w:lang w:val="en-US"/>
        </w:rPr>
      </w:pPr>
      <w:r>
        <w:rPr>
          <w:lang w:val="en-US"/>
        </w:rPr>
        <w:t>Projected Hospitalized COVID-19 Cases: 1,352</w:t>
      </w:r>
    </w:p>
    <w:p w14:paraId="0EBF758B" w14:textId="76850EDD" w:rsidR="0007250B" w:rsidRPr="0007250B" w:rsidRDefault="0007250B" w:rsidP="0007250B">
      <w:pPr>
        <w:pStyle w:val="ListParagraph"/>
        <w:numPr>
          <w:ilvl w:val="0"/>
          <w:numId w:val="12"/>
        </w:numPr>
        <w:jc w:val="both"/>
        <w:rPr>
          <w:lang w:val="en-US"/>
        </w:rPr>
      </w:pPr>
      <w:r>
        <w:rPr>
          <w:lang w:val="en-US"/>
        </w:rPr>
        <w:t>Projected Available Beds: 5,324</w:t>
      </w:r>
    </w:p>
    <w:p w14:paraId="18010CDB" w14:textId="77777777" w:rsidR="00A76623" w:rsidRDefault="00A76623" w:rsidP="00C95C4B">
      <w:pPr>
        <w:keepNext/>
        <w:spacing w:line="276" w:lineRule="auto"/>
        <w:jc w:val="both"/>
      </w:pPr>
      <w:r>
        <w:rPr>
          <w:noProof/>
          <w:lang w:val="en-US"/>
        </w:rPr>
        <w:drawing>
          <wp:inline distT="0" distB="0" distL="0" distR="0" wp14:anchorId="4ED69D8F" wp14:editId="522EDE44">
            <wp:extent cx="5486400" cy="2819271"/>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819271"/>
                    </a:xfrm>
                    <a:prstGeom prst="rect">
                      <a:avLst/>
                    </a:prstGeom>
                    <a:noFill/>
                    <a:ln>
                      <a:solidFill>
                        <a:schemeClr val="tx1"/>
                      </a:solidFill>
                    </a:ln>
                  </pic:spPr>
                </pic:pic>
              </a:graphicData>
            </a:graphic>
          </wp:inline>
        </w:drawing>
      </w:r>
    </w:p>
    <w:p w14:paraId="542A3B24" w14:textId="6F315566" w:rsidR="00A76623" w:rsidRPr="00A76623" w:rsidRDefault="00A76623" w:rsidP="00A76623">
      <w:pPr>
        <w:pStyle w:val="UOB-FigStyle"/>
        <w:rPr>
          <w:b w:val="0"/>
          <w:bCs/>
          <w:lang w:val="en-US"/>
        </w:rPr>
      </w:pPr>
      <w:bookmarkStart w:id="95" w:name="_Ref59160722"/>
      <w:bookmarkStart w:id="96" w:name="_Toc59172944"/>
      <w:r>
        <w:t xml:space="preserve">Fig. </w:t>
      </w:r>
      <w:r>
        <w:fldChar w:fldCharType="begin"/>
      </w:r>
      <w:r>
        <w:instrText xml:space="preserve"> SEQ Fig. \* ARABIC </w:instrText>
      </w:r>
      <w:r>
        <w:fldChar w:fldCharType="separate"/>
      </w:r>
      <w:r w:rsidR="00C95C4B">
        <w:rPr>
          <w:noProof/>
        </w:rPr>
        <w:t>8</w:t>
      </w:r>
      <w:r>
        <w:fldChar w:fldCharType="end"/>
      </w:r>
      <w:bookmarkEnd w:id="95"/>
      <w:r>
        <w:rPr>
          <w:lang w:val="en-US"/>
        </w:rPr>
        <w:t>:</w:t>
      </w:r>
      <w:r w:rsidRPr="00A76623">
        <w:rPr>
          <w:b w:val="0"/>
          <w:bCs/>
          <w:lang w:val="en-US"/>
        </w:rPr>
        <w:t xml:space="preserve"> Side-by-side Projected COVID-19 Cases, Hospitalized Cases, and Available Beds</w:t>
      </w:r>
      <w:bookmarkEnd w:id="96"/>
    </w:p>
    <w:p w14:paraId="299C7D5E" w14:textId="77777777" w:rsidR="005B0E55" w:rsidRDefault="005B0E55" w:rsidP="005B0E55">
      <w:pPr>
        <w:jc w:val="both"/>
        <w:rPr>
          <w:lang w:val="en-US"/>
        </w:rPr>
      </w:pPr>
      <w:bookmarkStart w:id="97" w:name="_Ref58688223"/>
    </w:p>
    <w:p w14:paraId="5C1C1F14" w14:textId="533A5AA4" w:rsidR="005B0E55" w:rsidRPr="00922142" w:rsidRDefault="005B0E55" w:rsidP="005B0E55">
      <w:pPr>
        <w:jc w:val="both"/>
        <w:rPr>
          <w:lang w:val="en-US"/>
        </w:rPr>
      </w:pPr>
      <w:r>
        <w:rPr>
          <w:lang w:val="en-US"/>
        </w:rPr>
        <w:t>&lt;</w:t>
      </w:r>
      <w:r>
        <w:rPr>
          <w:highlight w:val="green"/>
          <w:lang w:val="en-US"/>
        </w:rPr>
        <w:t xml:space="preserve">any other result we need to present? </w:t>
      </w:r>
      <w:r>
        <w:rPr>
          <w:lang w:val="en-US"/>
        </w:rPr>
        <w:t>&gt;</w:t>
      </w:r>
    </w:p>
    <w:p w14:paraId="0655FA3D" w14:textId="77777777" w:rsidR="00644071" w:rsidRDefault="00644071">
      <w:pPr>
        <w:spacing w:after="160" w:line="259" w:lineRule="auto"/>
        <w:rPr>
          <w:lang w:val="en-US"/>
        </w:rPr>
      </w:pPr>
    </w:p>
    <w:p w14:paraId="2894CB15" w14:textId="43BB5FC6" w:rsidR="00B54432" w:rsidRDefault="00B54432">
      <w:pPr>
        <w:spacing w:after="160" w:line="259" w:lineRule="auto"/>
        <w:rPr>
          <w:rFonts w:eastAsiaTheme="majorEastAsia" w:cs="Times New Roman"/>
          <w:b/>
          <w:bCs w:val="0"/>
          <w:color w:val="auto"/>
          <w:sz w:val="36"/>
          <w:szCs w:val="36"/>
          <w:lang w:val="en-US"/>
        </w:rPr>
      </w:pPr>
      <w:r>
        <w:rPr>
          <w:lang w:val="en-US"/>
        </w:rPr>
        <w:br w:type="page"/>
      </w:r>
    </w:p>
    <w:p w14:paraId="418ABD6C" w14:textId="37A0A2DD" w:rsidR="003E4AB1" w:rsidRPr="00ED342B" w:rsidRDefault="000B719B" w:rsidP="003E4AB1">
      <w:pPr>
        <w:pStyle w:val="UOB-Headings"/>
        <w:rPr>
          <w:bCs/>
          <w:lang w:val="en-US"/>
        </w:rPr>
      </w:pPr>
      <w:bookmarkStart w:id="98" w:name="_Toc59172928"/>
      <w:r>
        <w:rPr>
          <w:lang w:val="en-US"/>
        </w:rPr>
        <w:lastRenderedPageBreak/>
        <w:t>Discussion</w:t>
      </w:r>
      <w:bookmarkEnd w:id="97"/>
      <w:bookmarkEnd w:id="98"/>
    </w:p>
    <w:p w14:paraId="43CB012E" w14:textId="2359A966" w:rsidR="00DE7488" w:rsidRDefault="00DE7488" w:rsidP="00DD385B">
      <w:pPr>
        <w:ind w:firstLine="576"/>
        <w:jc w:val="both"/>
        <w:rPr>
          <w:lang w:val="en-US"/>
        </w:rPr>
      </w:pPr>
      <w:bookmarkStart w:id="99" w:name="_Ref58688226"/>
      <w:r>
        <w:rPr>
          <w:lang w:val="en-US"/>
        </w:rPr>
        <w:t>The selection of the Logistic Growth Model is commonly used to project population growth in epidemics such as COVID-19. Several researchers have implemented the logistic growth model</w:t>
      </w:r>
      <w:r w:rsidR="004F1436">
        <w:rPr>
          <w:lang w:val="en-US"/>
        </w:rPr>
        <w:t xml:space="preserve"> in studies </w:t>
      </w:r>
      <w:r w:rsidR="00DD385B">
        <w:rPr>
          <w:lang w:val="en-US"/>
        </w:rPr>
        <w:t xml:space="preserve">such as </w:t>
      </w:r>
      <w:r>
        <w:rPr>
          <w:lang w:val="en-US"/>
        </w:rPr>
        <w:t>forecast</w:t>
      </w:r>
      <w:r w:rsidR="00DD385B">
        <w:rPr>
          <w:lang w:val="en-US"/>
        </w:rPr>
        <w:t>ing</w:t>
      </w:r>
      <w:r>
        <w:rPr>
          <w:lang w:val="en-US"/>
        </w:rPr>
        <w:t xml:space="preserve"> the 2015 Ebola epidemic in West Africa </w:t>
      </w:r>
      <w:r>
        <w:rPr>
          <w:lang w:val="en-US"/>
        </w:rPr>
        <w:fldChar w:fldCharType="begin" w:fldLock="1"/>
      </w:r>
      <w:r>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Pr>
          <w:lang w:val="en-US"/>
        </w:rPr>
        <w:fldChar w:fldCharType="separate"/>
      </w:r>
      <w:r w:rsidRPr="00BF56A7">
        <w:rPr>
          <w:noProof/>
          <w:lang w:val="en-US"/>
        </w:rPr>
        <w:t>(Chowell et al., 2014; Pell et al., 2018)</w:t>
      </w:r>
      <w:r>
        <w:rPr>
          <w:lang w:val="en-US"/>
        </w:rPr>
        <w:fldChar w:fldCharType="end"/>
      </w:r>
      <w:r>
        <w:rPr>
          <w:lang w:val="en-US"/>
        </w:rPr>
        <w:t xml:space="preserve"> and recently to forecast COVID-19 cases in the Kingdom of Saudi Arabia </w:t>
      </w:r>
      <w:r>
        <w:rPr>
          <w:lang w:val="en-US"/>
        </w:rPr>
        <w:fldChar w:fldCharType="begin" w:fldLock="1"/>
      </w:r>
      <w:r>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Pr>
          <w:lang w:val="en-US"/>
        </w:rPr>
        <w:fldChar w:fldCharType="separate"/>
      </w:r>
      <w:r w:rsidRPr="00AC4D84">
        <w:rPr>
          <w:noProof/>
          <w:lang w:val="en-US"/>
        </w:rPr>
        <w:t>(Alboaneen et al., 2020)</w:t>
      </w:r>
      <w:r>
        <w:rPr>
          <w:lang w:val="en-US"/>
        </w:rPr>
        <w:fldChar w:fldCharType="end"/>
      </w:r>
      <w:r>
        <w:rPr>
          <w:lang w:val="en-US"/>
        </w:rPr>
        <w:t>.</w:t>
      </w:r>
      <w:r w:rsidR="00D41A00">
        <w:rPr>
          <w:lang w:val="en-US"/>
        </w:rPr>
        <w:t xml:space="preserve"> The selected Logistic Growth Model was </w:t>
      </w:r>
      <w:r w:rsidR="00102823">
        <w:rPr>
          <w:lang w:val="en-US"/>
        </w:rPr>
        <w:t xml:space="preserve">a </w:t>
      </w:r>
      <w:r w:rsidR="00D41A00">
        <w:rPr>
          <w:lang w:val="en-US"/>
        </w:rPr>
        <w:t xml:space="preserve">good </w:t>
      </w:r>
      <w:r w:rsidR="00C42D4F">
        <w:rPr>
          <w:lang w:val="en-US"/>
        </w:rPr>
        <w:t xml:space="preserve">statistical approach </w:t>
      </w:r>
      <w:r w:rsidR="00D41A00">
        <w:rPr>
          <w:lang w:val="en-US"/>
        </w:rPr>
        <w:t>as the generated model fit very well with the provided dat</w:t>
      </w:r>
      <w:r w:rsidR="00102823">
        <w:rPr>
          <w:lang w:val="en-US"/>
        </w:rPr>
        <w:t xml:space="preserve">a </w:t>
      </w:r>
      <w:r w:rsidR="00920C57">
        <w:rPr>
          <w:lang w:val="en-US"/>
        </w:rPr>
        <w:t xml:space="preserve">(for the study timeframe) </w:t>
      </w:r>
      <w:r w:rsidR="00102823">
        <w:rPr>
          <w:lang w:val="en-US"/>
        </w:rPr>
        <w:t>as presented in the figure</w:t>
      </w:r>
      <w:r w:rsidR="005C6D9E">
        <w:rPr>
          <w:lang w:val="en-US"/>
        </w:rPr>
        <w:t xml:space="preserve"> below, </w:t>
      </w:r>
      <w:r w:rsidR="00C42D4F" w:rsidRPr="00C42D4F">
        <w:rPr>
          <w:b/>
          <w:bCs w:val="0"/>
          <w:lang w:val="en-US"/>
        </w:rPr>
        <w:fldChar w:fldCharType="begin"/>
      </w:r>
      <w:r w:rsidR="00C42D4F" w:rsidRPr="00C42D4F">
        <w:rPr>
          <w:b/>
          <w:bCs w:val="0"/>
          <w:lang w:val="en-US"/>
        </w:rPr>
        <w:instrText xml:space="preserve"> REF _Ref59162514 \h </w:instrText>
      </w:r>
      <w:r w:rsidR="00C42D4F">
        <w:rPr>
          <w:b/>
          <w:bCs w:val="0"/>
          <w:lang w:val="en-US"/>
        </w:rPr>
        <w:instrText xml:space="preserve"> \* MERGEFORMAT </w:instrText>
      </w:r>
      <w:r w:rsidR="00C42D4F" w:rsidRPr="00C42D4F">
        <w:rPr>
          <w:b/>
          <w:bCs w:val="0"/>
          <w:lang w:val="en-US"/>
        </w:rPr>
      </w:r>
      <w:r w:rsidR="00C42D4F" w:rsidRPr="00C42D4F">
        <w:rPr>
          <w:b/>
          <w:bCs w:val="0"/>
          <w:lang w:val="en-US"/>
        </w:rPr>
        <w:fldChar w:fldCharType="separate"/>
      </w:r>
      <w:r w:rsidR="00C42D4F" w:rsidRPr="00C42D4F">
        <w:rPr>
          <w:b/>
          <w:bCs w:val="0"/>
        </w:rPr>
        <w:t xml:space="preserve">Fig. </w:t>
      </w:r>
      <w:r w:rsidR="00C42D4F" w:rsidRPr="00C42D4F">
        <w:rPr>
          <w:b/>
          <w:bCs w:val="0"/>
          <w:noProof/>
        </w:rPr>
        <w:t>9</w:t>
      </w:r>
      <w:r w:rsidR="00C42D4F" w:rsidRPr="00C42D4F">
        <w:rPr>
          <w:b/>
          <w:bCs w:val="0"/>
          <w:lang w:val="en-US"/>
        </w:rPr>
        <w:fldChar w:fldCharType="end"/>
      </w:r>
      <w:r w:rsidR="005C6D9E">
        <w:rPr>
          <w:lang w:val="en-US"/>
        </w:rPr>
        <w:t>, which illustrate the actual data and the predicted data.</w:t>
      </w:r>
      <w:r w:rsidR="00EB4596">
        <w:rPr>
          <w:lang w:val="en-US"/>
        </w:rPr>
        <w:t xml:space="preserve"> </w:t>
      </w:r>
    </w:p>
    <w:p w14:paraId="3C7BFE40" w14:textId="28673C29" w:rsidR="00C42D4F" w:rsidRDefault="00026EEC" w:rsidP="00CE6A5A">
      <w:pPr>
        <w:keepNext/>
        <w:spacing w:line="276" w:lineRule="auto"/>
        <w:jc w:val="center"/>
      </w:pPr>
      <w:r>
        <w:rPr>
          <w:noProof/>
        </w:rPr>
        <w:drawing>
          <wp:inline distT="0" distB="0" distL="0" distR="0" wp14:anchorId="1B7BC531" wp14:editId="001EB8D2">
            <wp:extent cx="4389120" cy="2665059"/>
            <wp:effectExtent l="19050" t="19050" r="11430"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2307" r="4278" b="3146"/>
                    <a:stretch/>
                  </pic:blipFill>
                  <pic:spPr bwMode="auto">
                    <a:xfrm>
                      <a:off x="0" y="0"/>
                      <a:ext cx="4389120" cy="266505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323D6" w14:textId="7FBC329C" w:rsidR="00C42D4F" w:rsidRPr="00C42D4F" w:rsidRDefault="00C42D4F" w:rsidP="00C42D4F">
      <w:pPr>
        <w:pStyle w:val="UOB-FigStyle"/>
        <w:rPr>
          <w:b w:val="0"/>
          <w:bCs/>
          <w:lang w:val="en-US"/>
        </w:rPr>
      </w:pPr>
      <w:bookmarkStart w:id="100" w:name="_Ref59162514"/>
      <w:bookmarkStart w:id="101" w:name="_Toc59172945"/>
      <w:r>
        <w:t xml:space="preserve">Fig. </w:t>
      </w:r>
      <w:r>
        <w:fldChar w:fldCharType="begin"/>
      </w:r>
      <w:r>
        <w:instrText xml:space="preserve"> SEQ Fig. \* ARABIC </w:instrText>
      </w:r>
      <w:r>
        <w:fldChar w:fldCharType="separate"/>
      </w:r>
      <w:r w:rsidR="00C95C4B">
        <w:rPr>
          <w:noProof/>
        </w:rPr>
        <w:t>9</w:t>
      </w:r>
      <w:r>
        <w:fldChar w:fldCharType="end"/>
      </w:r>
      <w:bookmarkEnd w:id="100"/>
      <w:r>
        <w:rPr>
          <w:lang w:val="en-US"/>
        </w:rPr>
        <w:t>:</w:t>
      </w:r>
      <w:r w:rsidRPr="00C42D4F">
        <w:rPr>
          <w:b w:val="0"/>
          <w:bCs/>
          <w:lang w:val="en-US"/>
        </w:rPr>
        <w:t xml:space="preserve"> Actual Data and Predicted Model Data</w:t>
      </w:r>
      <w:bookmarkEnd w:id="101"/>
    </w:p>
    <w:p w14:paraId="492BD815" w14:textId="299FE932" w:rsidR="002E33B2" w:rsidRDefault="00EB4596" w:rsidP="00BC31D5">
      <w:pPr>
        <w:ind w:firstLine="576"/>
        <w:jc w:val="both"/>
        <w:rPr>
          <w:lang w:val="en-US"/>
        </w:rPr>
      </w:pPr>
      <w:r>
        <w:rPr>
          <w:lang w:val="en-US"/>
        </w:rPr>
        <w:t xml:space="preserve">However, such a close-fitting model is also referred to as an overfitted model (or overfitting with the data) </w:t>
      </w:r>
      <w:r w:rsidR="00026EEC">
        <w:rPr>
          <w:lang w:val="en-US"/>
        </w:rPr>
        <w:t xml:space="preserve">which presents a problem </w:t>
      </w:r>
      <w:r>
        <w:rPr>
          <w:lang w:val="en-US"/>
        </w:rPr>
        <w:t>as it has a very low bias (since it is close to the data provided) but a very high variance.</w:t>
      </w:r>
      <w:r w:rsidR="00B53A4C">
        <w:rPr>
          <w:lang w:val="en-US"/>
        </w:rPr>
        <w:t xml:space="preserve"> &lt;</w:t>
      </w:r>
      <w:r w:rsidR="00B53A4C" w:rsidRPr="00CE18F8">
        <w:rPr>
          <w:highlight w:val="green"/>
          <w:lang w:val="en-US"/>
        </w:rPr>
        <w:t xml:space="preserve">define bias and variance in simple </w:t>
      </w:r>
      <w:r w:rsidR="00420C0C" w:rsidRPr="00CE18F8">
        <w:rPr>
          <w:highlight w:val="green"/>
          <w:lang w:val="en-US"/>
        </w:rPr>
        <w:t>and short words</w:t>
      </w:r>
      <w:r w:rsidR="00B53A4C">
        <w:rPr>
          <w:lang w:val="en-US"/>
        </w:rPr>
        <w:t>&gt;</w:t>
      </w:r>
      <w:r w:rsidR="002E33B2">
        <w:rPr>
          <w:lang w:val="en-US"/>
        </w:rPr>
        <w:t xml:space="preserve"> This prompted to question whether logistic growth model was truly able to capture the trend of COVID-19 cases for </w:t>
      </w:r>
      <w:r w:rsidR="001A36A7">
        <w:rPr>
          <w:lang w:val="en-US"/>
        </w:rPr>
        <w:t xml:space="preserve">the Kingdom of Bahrain </w:t>
      </w:r>
      <w:r w:rsidR="002E33B2">
        <w:rPr>
          <w:lang w:val="en-US"/>
        </w:rPr>
        <w:t xml:space="preserve">based on </w:t>
      </w:r>
      <w:r w:rsidR="00026EEC">
        <w:rPr>
          <w:lang w:val="en-US"/>
        </w:rPr>
        <w:t xml:space="preserve">short-term </w:t>
      </w:r>
      <w:r w:rsidR="002E33B2">
        <w:rPr>
          <w:lang w:val="en-US"/>
        </w:rPr>
        <w:t>provided data. To test the model accuracy, the figure below</w:t>
      </w:r>
      <w:r w:rsidR="00C95C4B">
        <w:rPr>
          <w:lang w:val="en-US"/>
        </w:rPr>
        <w:t xml:space="preserve">, </w:t>
      </w:r>
      <w:r w:rsidR="00C95C4B" w:rsidRPr="00C95C4B">
        <w:rPr>
          <w:b/>
          <w:bCs w:val="0"/>
          <w:lang w:val="en-US"/>
        </w:rPr>
        <w:fldChar w:fldCharType="begin"/>
      </w:r>
      <w:r w:rsidR="00C95C4B" w:rsidRPr="00C95C4B">
        <w:rPr>
          <w:b/>
          <w:bCs w:val="0"/>
          <w:lang w:val="en-US"/>
        </w:rPr>
        <w:instrText xml:space="preserve"> REF _Ref59163476 \h </w:instrText>
      </w:r>
      <w:r w:rsidR="00C95C4B">
        <w:rPr>
          <w:b/>
          <w:bCs w:val="0"/>
          <w:lang w:val="en-US"/>
        </w:rPr>
        <w:instrText xml:space="preserve"> \* MERGEFORMAT </w:instrText>
      </w:r>
      <w:r w:rsidR="00C95C4B" w:rsidRPr="00C95C4B">
        <w:rPr>
          <w:b/>
          <w:bCs w:val="0"/>
          <w:lang w:val="en-US"/>
        </w:rPr>
      </w:r>
      <w:r w:rsidR="00C95C4B" w:rsidRPr="00C95C4B">
        <w:rPr>
          <w:b/>
          <w:bCs w:val="0"/>
          <w:lang w:val="en-US"/>
        </w:rPr>
        <w:fldChar w:fldCharType="separate"/>
      </w:r>
      <w:r w:rsidR="00C95C4B" w:rsidRPr="00C95C4B">
        <w:rPr>
          <w:b/>
          <w:bCs w:val="0"/>
        </w:rPr>
        <w:t xml:space="preserve">Fig. </w:t>
      </w:r>
      <w:r w:rsidR="00C95C4B" w:rsidRPr="00C95C4B">
        <w:rPr>
          <w:b/>
          <w:bCs w:val="0"/>
          <w:noProof/>
        </w:rPr>
        <w:t>10</w:t>
      </w:r>
      <w:r w:rsidR="00C95C4B" w:rsidRPr="00C95C4B">
        <w:rPr>
          <w:b/>
          <w:bCs w:val="0"/>
          <w:lang w:val="en-US"/>
        </w:rPr>
        <w:fldChar w:fldCharType="end"/>
      </w:r>
      <w:r w:rsidR="00C95C4B">
        <w:rPr>
          <w:lang w:val="en-US"/>
        </w:rPr>
        <w:t>,</w:t>
      </w:r>
      <w:r w:rsidR="002E33B2">
        <w:rPr>
          <w:lang w:val="en-US"/>
        </w:rPr>
        <w:t xml:space="preserve"> shows the actual data (including the study </w:t>
      </w:r>
      <w:r w:rsidR="00CB7D7C">
        <w:rPr>
          <w:lang w:val="en-US"/>
        </w:rPr>
        <w:t xml:space="preserve">timeframe </w:t>
      </w:r>
      <w:r w:rsidR="002E33B2">
        <w:rPr>
          <w:lang w:val="en-US"/>
        </w:rPr>
        <w:t xml:space="preserve">and </w:t>
      </w:r>
      <w:r w:rsidR="002E33B2">
        <w:rPr>
          <w:lang w:val="en-US"/>
        </w:rPr>
        <w:lastRenderedPageBreak/>
        <w:t>project</w:t>
      </w:r>
      <w:r w:rsidR="00CB7D7C">
        <w:rPr>
          <w:lang w:val="en-US"/>
        </w:rPr>
        <w:t>ion</w:t>
      </w:r>
      <w:r w:rsidR="002E33B2">
        <w:rPr>
          <w:lang w:val="en-US"/>
        </w:rPr>
        <w:t xml:space="preserve"> time</w:t>
      </w:r>
      <w:r w:rsidR="00CB7D7C">
        <w:rPr>
          <w:lang w:val="en-US"/>
        </w:rPr>
        <w:t>-horizon</w:t>
      </w:r>
      <w:r w:rsidR="002E33B2">
        <w:rPr>
          <w:lang w:val="en-US"/>
        </w:rPr>
        <w:t xml:space="preserve">), against </w:t>
      </w:r>
      <w:r w:rsidR="00D27A1E">
        <w:rPr>
          <w:lang w:val="en-US"/>
        </w:rPr>
        <w:t xml:space="preserve">the </w:t>
      </w:r>
      <w:r w:rsidR="002E33B2">
        <w:rPr>
          <w:lang w:val="en-US"/>
        </w:rPr>
        <w:t>generated logistic model</w:t>
      </w:r>
      <w:r w:rsidR="00FC4325">
        <w:rPr>
          <w:lang w:val="en-US"/>
        </w:rPr>
        <w:t>’s</w:t>
      </w:r>
      <w:r w:rsidR="002E33B2">
        <w:rPr>
          <w:lang w:val="en-US"/>
        </w:rPr>
        <w:t xml:space="preserve"> data (prediction</w:t>
      </w:r>
      <w:r w:rsidR="00E5160D">
        <w:rPr>
          <w:lang w:val="en-US"/>
        </w:rPr>
        <w:t xml:space="preserve"> in blue</w:t>
      </w:r>
      <w:r w:rsidR="002E33B2">
        <w:rPr>
          <w:lang w:val="en-US"/>
        </w:rPr>
        <w:t xml:space="preserve"> and forecast</w:t>
      </w:r>
      <w:r w:rsidR="00E5160D">
        <w:rPr>
          <w:lang w:val="en-US"/>
        </w:rPr>
        <w:t xml:space="preserve"> in red</w:t>
      </w:r>
      <w:r w:rsidR="002E33B2">
        <w:rPr>
          <w:lang w:val="en-US"/>
        </w:rPr>
        <w:t>).</w:t>
      </w:r>
      <w:r w:rsidR="00E5160D">
        <w:rPr>
          <w:lang w:val="en-US"/>
        </w:rPr>
        <w:t xml:space="preserve"> With this, it is noted that the logistic model might have been short-sighted in the sense that it quickly flattened the curve and set a relatively low maximum number of cases – as similarly reported by </w:t>
      </w:r>
      <w:r w:rsidR="00E5160D" w:rsidRPr="00E5160D">
        <w:rPr>
          <w:noProof/>
          <w:lang w:val="en-US"/>
        </w:rPr>
        <w:t>Alboaneen et al.</w:t>
      </w:r>
      <w:r w:rsidR="00E5160D">
        <w:rPr>
          <w:lang w:val="en-US"/>
        </w:rPr>
        <w:t xml:space="preserve"> </w:t>
      </w:r>
      <w:r w:rsidR="00E5160D">
        <w:rPr>
          <w:lang w:val="en-US"/>
        </w:rPr>
        <w:fldChar w:fldCharType="begin" w:fldLock="1"/>
      </w:r>
      <w:r w:rsidR="009E3CAA">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suppress-author":1,"uris":["http://www.mendeley.com/documents/?uuid=12009013-c06e-4a4e-a94a-71a7672cf58c"]}],"mendeley":{"formattedCitation":"(2020)","plainTextFormattedCitation":"(2020)","previouslyFormattedCitation":"(2020)"},"properties":{"noteIndex":0},"schema":"https://github.com/citation-style-language/schema/raw/master/csl-citation.json"}</w:instrText>
      </w:r>
      <w:r w:rsidR="00E5160D">
        <w:rPr>
          <w:lang w:val="en-US"/>
        </w:rPr>
        <w:fldChar w:fldCharType="separate"/>
      </w:r>
      <w:r w:rsidR="00E5160D" w:rsidRPr="00E5160D">
        <w:rPr>
          <w:noProof/>
          <w:lang w:val="en-US"/>
        </w:rPr>
        <w:t>(2020)</w:t>
      </w:r>
      <w:r w:rsidR="00E5160D">
        <w:rPr>
          <w:lang w:val="en-US"/>
        </w:rPr>
        <w:fldChar w:fldCharType="end"/>
      </w:r>
      <w:r w:rsidR="00EE1136">
        <w:rPr>
          <w:lang w:val="en-US"/>
        </w:rPr>
        <w:t xml:space="preserve"> relative to the SIR model they implemented.</w:t>
      </w:r>
      <w:r w:rsidR="001203C5" w:rsidRPr="001203C5">
        <w:rPr>
          <w:lang w:val="en-US"/>
        </w:rPr>
        <w:t xml:space="preserve"> </w:t>
      </w:r>
      <w:r w:rsidR="001203C5">
        <w:rPr>
          <w:lang w:val="en-US"/>
        </w:rPr>
        <w:t>However, due to its simplicity and lower number of parameters</w:t>
      </w:r>
      <w:r w:rsidR="00D27A1E">
        <w:rPr>
          <w:lang w:val="en-US"/>
        </w:rPr>
        <w:t xml:space="preserve"> and ease of implementation</w:t>
      </w:r>
      <w:r w:rsidR="001203C5">
        <w:rPr>
          <w:lang w:val="en-US"/>
        </w:rPr>
        <w:t xml:space="preserve">, the logistic model as well as the SIR model </w:t>
      </w:r>
      <w:r w:rsidR="001203C5">
        <w:rPr>
          <w:lang w:val="en-US"/>
        </w:rPr>
        <w:fldChar w:fldCharType="begin" w:fldLock="1"/>
      </w:r>
      <w:r w:rsidR="006338BC">
        <w:rPr>
          <w:lang w:val="en-US"/>
        </w:rPr>
        <w:instrText>ADDIN CSL_CITATION {"citationItems":[{"id":"ITEM-1","itemData":{"DOI":"10.7326/M20-1260","ISSN":"0003-4819","author":[{"dropping-particle":"","family":"Weissman","given":"Gary E.","non-dropping-particle":"","parse-names":false,"suffix":""},{"dropping-particle":"","family":"Crane-Droesch","given":"Andrew","non-dropping-particle":"","parse-names":false,"suffix":""},{"dropping-particle":"","family":"Chivers","given":"Corey","non-dropping-particle":"","parse-names":false,"suffix":""},{"dropping-particle":"","family":"Luong","given":"ThaiBinh","non-dropping-particle":"","parse-names":false,"suffix":""},{"dropping-particle":"","family":"Hanish","given":"Asaf","non-dropping-particle":"","parse-names":false,"suffix":""},{"dropping-particle":"","family":"Levy","given":"Michael Z.","non-dropping-particle":"","parse-names":false,"suffix":""},{"dropping-particle":"","family":"Lubken","given":"Jason","non-dropping-particle":"","parse-names":false,"suffix":""},{"dropping-particle":"","family":"Becker","given":"Michael","non-dropping-particle":"","parse-names":false,"suffix":""},{"dropping-particle":"","family":"Draugelis","given":"Michael E.","non-dropping-particle":"","parse-names":false,"suffix":""},{"dropping-particle":"","family":"Anesi","given":"George L.","non-dropping-particle":"","parse-names":false,"suffix":""},{"dropping-particle":"","family":"Brennan","given":"Patrick J.","non-dropping-particle":"","parse-names":false,"suffix":""},{"dropping-particle":"","family":"Christie","given":"Jason D.","non-dropping-particle":"","parse-names":false,"suffix":""},{"dropping-particle":"","family":"Hanson","given":"C. William","non-dropping-particle":"","parse-names":false,"suffix":""},{"dropping-particle":"","family":"Mikkelsen","given":"Mark E.","non-dropping-particle":"","parse-names":false,"suffix":""},{"dropping-particle":"","family":"Halpern","given":"Scott D.","non-dropping-particle":"","parse-names":false,"suffix":""}],"container-title":"Annals of Internal Medicine","id":"ITEM-1","issue":"1","issued":{"date-parts":[["2020","7","7"]]},"page":"21-28","title":"Locally Informed Simulation to Predict Hospital Capacity Needs During the COVID-19 Pandemic","type":"article-journal","volume":"173"},"uris":["http://www.mendeley.com/documents/?uuid=4967db05-abc8-4032-b958-0ef7c1920280"]}],"mendeley":{"formattedCitation":"(Weissman et al., 2020)","plainTextFormattedCitation":"(Weissman et al., 2020)","previouslyFormattedCitation":"(Weissman et al., 2020)"},"properties":{"noteIndex":0},"schema":"https://github.com/citation-style-language/schema/raw/master/csl-citation.json"}</w:instrText>
      </w:r>
      <w:r w:rsidR="001203C5">
        <w:rPr>
          <w:lang w:val="en-US"/>
        </w:rPr>
        <w:fldChar w:fldCharType="separate"/>
      </w:r>
      <w:r w:rsidR="001203C5" w:rsidRPr="005E402C">
        <w:rPr>
          <w:noProof/>
          <w:lang w:val="en-US"/>
        </w:rPr>
        <w:t>(Weissman et al., 2020)</w:t>
      </w:r>
      <w:r w:rsidR="001203C5">
        <w:rPr>
          <w:lang w:val="en-US"/>
        </w:rPr>
        <w:fldChar w:fldCharType="end"/>
      </w:r>
      <w:r w:rsidR="001203C5">
        <w:rPr>
          <w:lang w:val="en-US"/>
        </w:rPr>
        <w:t xml:space="preserve"> are still used commonly amongst researches. </w:t>
      </w:r>
    </w:p>
    <w:p w14:paraId="61584EBF" w14:textId="77777777" w:rsidR="00C95C4B" w:rsidRDefault="00E5160D" w:rsidP="00CE6A5A">
      <w:pPr>
        <w:keepNext/>
        <w:spacing w:line="276" w:lineRule="auto"/>
        <w:jc w:val="center"/>
      </w:pPr>
      <w:r>
        <w:rPr>
          <w:noProof/>
        </w:rPr>
        <w:drawing>
          <wp:inline distT="0" distB="0" distL="0" distR="0" wp14:anchorId="2B3FFF8E" wp14:editId="7B7B01AC">
            <wp:extent cx="4389120" cy="2481057"/>
            <wp:effectExtent l="19050" t="19050" r="11430"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3290" r="4285" b="3085"/>
                    <a:stretch/>
                  </pic:blipFill>
                  <pic:spPr bwMode="auto">
                    <a:xfrm>
                      <a:off x="0" y="0"/>
                      <a:ext cx="4389120" cy="24810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C562D9E" w14:textId="14454C3A" w:rsidR="00EB4596" w:rsidRPr="00C95C4B" w:rsidRDefault="00C95C4B" w:rsidP="00C95C4B">
      <w:pPr>
        <w:pStyle w:val="UOB-FigStyle"/>
        <w:rPr>
          <w:b w:val="0"/>
          <w:bCs/>
          <w:lang w:val="en-US"/>
        </w:rPr>
      </w:pPr>
      <w:bookmarkStart w:id="102" w:name="_Ref59163476"/>
      <w:bookmarkStart w:id="103" w:name="_Toc59172946"/>
      <w:r>
        <w:t xml:space="preserve">Fig. </w:t>
      </w:r>
      <w:r>
        <w:fldChar w:fldCharType="begin"/>
      </w:r>
      <w:r>
        <w:instrText xml:space="preserve"> SEQ Fig. \* ARABIC </w:instrText>
      </w:r>
      <w:r>
        <w:fldChar w:fldCharType="separate"/>
      </w:r>
      <w:r>
        <w:rPr>
          <w:noProof/>
        </w:rPr>
        <w:t>10</w:t>
      </w:r>
      <w:r>
        <w:fldChar w:fldCharType="end"/>
      </w:r>
      <w:bookmarkEnd w:id="102"/>
      <w:r>
        <w:rPr>
          <w:lang w:val="en-US"/>
        </w:rPr>
        <w:t>:</w:t>
      </w:r>
      <w:r w:rsidRPr="00C95C4B">
        <w:rPr>
          <w:b w:val="0"/>
          <w:bCs/>
          <w:lang w:val="en-US"/>
        </w:rPr>
        <w:t xml:space="preserve"> Actual Data versus Logistic Growth Model</w:t>
      </w:r>
      <w:bookmarkEnd w:id="103"/>
    </w:p>
    <w:p w14:paraId="72086AD2" w14:textId="47F6E729" w:rsidR="00D81C0A" w:rsidRDefault="00BC31D5" w:rsidP="00BC31D5">
      <w:pPr>
        <w:ind w:firstLine="576"/>
        <w:jc w:val="both"/>
        <w:rPr>
          <w:lang w:val="en-US"/>
        </w:rPr>
      </w:pPr>
      <w:r>
        <w:rPr>
          <w:lang w:val="en-US"/>
        </w:rPr>
        <w:t>To address the purpose of this research, in terms of bed capacity, this research finds that the Kingdom of Bahrain will not reach saturation over the defined time-horizon of three months (90 days) as the presented results illustrate that with there will be a surplus of approximately 5,000 available beds that can be utilized for COVID-19 cases.</w:t>
      </w:r>
    </w:p>
    <w:p w14:paraId="5E422E78" w14:textId="263958CD" w:rsidR="00D81C0A" w:rsidRDefault="00D81C0A" w:rsidP="00BC31D5">
      <w:pPr>
        <w:ind w:firstLine="576"/>
        <w:jc w:val="both"/>
        <w:rPr>
          <w:lang w:val="en-US"/>
        </w:rPr>
      </w:pPr>
      <w:r>
        <w:rPr>
          <w:lang w:val="en-US"/>
        </w:rPr>
        <w:t>It is interesting to note that the distribution of available beds in the Kingdom of Bahrain, based on our given scenario, are primarily within the Isolation Centers and Quarantine Centers (IQC) – accounting for 90% of the total available beds. This indicates that if the Kingdom of Bahrain has not responded to</w:t>
      </w:r>
      <w:r w:rsidR="000E2477">
        <w:rPr>
          <w:lang w:val="en-US"/>
        </w:rPr>
        <w:t>,</w:t>
      </w:r>
      <w:r>
        <w:rPr>
          <w:lang w:val="en-US"/>
        </w:rPr>
        <w:t xml:space="preserve"> or prepared for</w:t>
      </w:r>
      <w:r w:rsidR="000E2477">
        <w:rPr>
          <w:lang w:val="en-US"/>
        </w:rPr>
        <w:t>,</w:t>
      </w:r>
      <w:r>
        <w:rPr>
          <w:lang w:val="en-US"/>
        </w:rPr>
        <w:t xml:space="preserve"> the COVID-19 epidemic in such a rapid </w:t>
      </w:r>
      <w:r>
        <w:rPr>
          <w:lang w:val="en-US"/>
        </w:rPr>
        <w:lastRenderedPageBreak/>
        <w:t>manner</w:t>
      </w:r>
      <w:r w:rsidR="00587838">
        <w:rPr>
          <w:lang w:val="en-US"/>
        </w:rPr>
        <w:t xml:space="preserve">, as highlighted and documented by </w:t>
      </w:r>
      <w:r w:rsidR="00587838" w:rsidRPr="00587838">
        <w:rPr>
          <w:noProof/>
          <w:lang w:val="en-US"/>
        </w:rPr>
        <w:t>Louri et al.</w:t>
      </w:r>
      <w:r w:rsidR="00587838">
        <w:rPr>
          <w:lang w:val="en-US"/>
        </w:rPr>
        <w:t xml:space="preserve"> </w:t>
      </w:r>
      <w:r w:rsidR="00587838">
        <w:rPr>
          <w:lang w:val="en-US"/>
        </w:rPr>
        <w:fldChar w:fldCharType="begin" w:fldLock="1"/>
      </w:r>
      <w:r w:rsidR="007D5E3D">
        <w:rPr>
          <w:lang w:val="en-US"/>
        </w:rPr>
        <w:instrText>ADDIN CSL_CITATION {"citationItems":[{"id":"ITEM-1","itemData":{"DOI":"10.1017/dmp.2020.297","ISSN":"1935-7893","abstract":"This article reports the establishment of an isolated, fully functional field intensive care unit (FICU) unit equipped with all necessary critical care facilities as a part of the national pre-emptive preparedness to treat an unexpected surge outbreak of coronavirus disease 2019 (COVID-19) patients in Bahrain. One floor of an existing car parking structure was converted into a 130-bed FICU set-up by the in-house project implementation team comprised of multidisciplinary departments. The setting was a military hospital in the Kingdom of Bahrain, and the car park was on the hospital premises. The FICU contained a 112-bed fully equipped ICU and an 18-bed step-down ICU, and was built in 7 d to cater to the intensive care of COVID-19 patients in Bahrain.","author":[{"dropping-particle":"","family":"Louri","given":"Nayef A.","non-dropping-particle":"","parse-names":false,"suffix":""},{"dropping-particle":"","family":"Alkhan","given":"Jalal Abdulla","non-dropping-particle":"","parse-names":false,"suffix":""},{"dropping-particle":"","family":"Isa","given":"Hayyan Hamad","non-dropping-particle":"","parse-names":false,"suffix":""},{"dropping-particle":"","family":"Asad","given":"Yaser","non-dropping-particle":"","parse-names":false,"suffix":""},{"dropping-particle":"","family":"Alsharooqi","given":"Abdulla","non-dropping-particle":"","parse-names":false,"suffix":""},{"dropping-particle":"","family":"Alomari","given":"Khalifa Ahmed","non-dropping-particle":"","parse-names":false,"suffix":""},{"dropping-particle":"","family":"Hasan","given":"Nahed Kamal","non-dropping-particle":"","parse-names":false,"suffix":""},{"dropping-particle":"","family":"Khalifa","given":"Fahad Bin Khalifa","non-dropping-particle":"Al","parse-names":false,"suffix":""},{"dropping-particle":"","family":"Ahmed","given":"Ghaida Fareed","non-dropping-particle":"","parse-names":false,"suffix":""},{"dropping-particle":"","family":"Alasmi","given":"Muna Yaqoob","non-dropping-particle":"","parse-names":false,"suffix":""},{"dropping-particle":"","family":"Al-Khalifa","given":"Dana Khalifa","non-dropping-particle":"","parse-names":false,"suffix":""},{"dropping-particle":"","family":"Khalifa","given":"Khalid Bin Ali","non-dropping-particle":"Al","parse-names":false,"suffix":""}],"container-title":"Disaster Medicine and Public Health Preparedness","id":"ITEM-1","issued":{"date-parts":[["2020","8","12"]]},"page":"1-10","title":"Establishing a 130-Bed Field Intensive Care Unit to Prepare for COVID-19 in 7 Days in Bahrain Military Hospital","type":"article-journal"},"label":"figure","suppress-author":1,"uris":["http://www.mendeley.com/documents/?uuid=e27243f9-78dc-4038-b6ae-e7d650e5f506"]}],"mendeley":{"formattedCitation":"(2020)","plainTextFormattedCitation":"(2020)","previouslyFormattedCitation":"(2020)"},"properties":{"noteIndex":0},"schema":"https://github.com/citation-style-language/schema/raw/master/csl-citation.json"}</w:instrText>
      </w:r>
      <w:r w:rsidR="00587838">
        <w:rPr>
          <w:lang w:val="en-US"/>
        </w:rPr>
        <w:fldChar w:fldCharType="separate"/>
      </w:r>
      <w:r w:rsidR="00587838" w:rsidRPr="00587838">
        <w:rPr>
          <w:noProof/>
          <w:lang w:val="en-US"/>
        </w:rPr>
        <w:t>(2020)</w:t>
      </w:r>
      <w:r w:rsidR="00587838">
        <w:rPr>
          <w:lang w:val="en-US"/>
        </w:rPr>
        <w:fldChar w:fldCharType="end"/>
      </w:r>
      <w:r w:rsidR="00EA29A7">
        <w:rPr>
          <w:lang w:val="en-US"/>
        </w:rPr>
        <w:t xml:space="preserve"> as a</w:t>
      </w:r>
      <w:r w:rsidR="000E2477">
        <w:rPr>
          <w:lang w:val="en-US"/>
        </w:rPr>
        <w:t>n</w:t>
      </w:r>
      <w:r w:rsidR="00EA29A7">
        <w:rPr>
          <w:lang w:val="en-US"/>
        </w:rPr>
        <w:t xml:space="preserve"> </w:t>
      </w:r>
      <w:r w:rsidR="00F1222A">
        <w:rPr>
          <w:lang w:val="en-US"/>
        </w:rPr>
        <w:t>instance</w:t>
      </w:r>
      <w:r w:rsidR="000E2477">
        <w:rPr>
          <w:lang w:val="en-US"/>
        </w:rPr>
        <w:t xml:space="preserve"> </w:t>
      </w:r>
      <w:r w:rsidR="00EA29A7">
        <w:rPr>
          <w:lang w:val="en-US"/>
        </w:rPr>
        <w:t>of Bahrain’s quick response</w:t>
      </w:r>
      <w:r>
        <w:rPr>
          <w:lang w:val="en-US"/>
        </w:rPr>
        <w:t xml:space="preserve">, </w:t>
      </w:r>
      <w:r w:rsidR="008D44BE">
        <w:rPr>
          <w:lang w:val="en-US"/>
        </w:rPr>
        <w:t>the country</w:t>
      </w:r>
      <w:r>
        <w:rPr>
          <w:lang w:val="en-US"/>
        </w:rPr>
        <w:t xml:space="preserve"> would likely </w:t>
      </w:r>
      <w:r w:rsidR="00587838">
        <w:rPr>
          <w:lang w:val="en-US"/>
        </w:rPr>
        <w:t xml:space="preserve">have </w:t>
      </w:r>
      <w:r>
        <w:rPr>
          <w:lang w:val="en-US"/>
        </w:rPr>
        <w:t>reach</w:t>
      </w:r>
      <w:r w:rsidR="00587838">
        <w:rPr>
          <w:lang w:val="en-US"/>
        </w:rPr>
        <w:t>ed</w:t>
      </w:r>
      <w:r>
        <w:rPr>
          <w:lang w:val="en-US"/>
        </w:rPr>
        <w:t xml:space="preserve"> bed capacity saturation</w:t>
      </w:r>
      <w:r w:rsidR="008D44BE">
        <w:rPr>
          <w:lang w:val="en-US"/>
        </w:rPr>
        <w:t xml:space="preserve"> in the early stages of the epidemic crisis.</w:t>
      </w:r>
    </w:p>
    <w:p w14:paraId="6932CA38" w14:textId="66F84A2B" w:rsidR="00317E15" w:rsidRDefault="006338BC" w:rsidP="00BC31D5">
      <w:pPr>
        <w:ind w:firstLine="576"/>
        <w:jc w:val="both"/>
        <w:rPr>
          <w:lang w:val="en-US"/>
        </w:rPr>
      </w:pPr>
      <w:r>
        <w:rPr>
          <w:lang w:val="en-US"/>
        </w:rPr>
        <w:t xml:space="preserve">However, it is important to note that without the Average Length of Stay (ALOS) included in the statistical analysis, as implemented by </w:t>
      </w:r>
      <w:r w:rsidRPr="006338BC">
        <w:rPr>
          <w:noProof/>
          <w:lang w:val="en-US"/>
        </w:rPr>
        <w:t>Barasa et al.</w:t>
      </w:r>
      <w:r>
        <w:rPr>
          <w:lang w:val="en-US"/>
        </w:rPr>
        <w:t xml:space="preserve"> </w:t>
      </w:r>
      <w:r>
        <w:rPr>
          <w:lang w:val="en-US"/>
        </w:rPr>
        <w:fldChar w:fldCharType="begin" w:fldLock="1"/>
      </w:r>
      <w:r w:rsidR="00A75314">
        <w:rPr>
          <w:lang w:val="en-US"/>
        </w:rPr>
        <w:instrText>ADDIN CSL_CITATION {"citationItems":[{"id":"ITEM-1","itemData":{"DOI":"10.1371/journal.pone.0236308","ISSN":"1932-6203","author":[{"dropping-particle":"","family":"Barasa","given":"Edwine W.","non-dropping-particle":"","parse-names":false,"suffix":""},{"dropping-particle":"","family":"Ouma","given":"Paul O.","non-dropping-particle":"","parse-names":false,"suffix":""},{"dropping-particle":"","family":"Okiro","given":"Emelda A.","non-dropping-particle":"","parse-names":false,"suffix":""}],"container-title":"PLOS ONE","editor":[{"dropping-particle":"","family":"Oladimeji","given":"Olanrewaju","non-dropping-particle":"","parse-names":false,"suffix":""}],"id":"ITEM-1","issue":"7","issued":{"date-parts":[["2020","7","20"]]},"page":"e0236308","title":"Assessing the hospital surge capacity of the Kenyan health system in the face of the COVID-19 pandemic","type":"article-journal","volume":"15"},"label":"figure","suppress-author":1,"uris":["http://www.mendeley.com/documents/?uuid=1a510558-db8b-4300-9cea-22fa2c080dfc"]}],"mendeley":{"formattedCitation":"(2020)","plainTextFormattedCitation":"(2020)","previouslyFormattedCitation":"(2020)"},"properties":{"noteIndex":0},"schema":"https://github.com/citation-style-language/schema/raw/master/csl-citation.json"}</w:instrText>
      </w:r>
      <w:r>
        <w:rPr>
          <w:lang w:val="en-US"/>
        </w:rPr>
        <w:fldChar w:fldCharType="separate"/>
      </w:r>
      <w:r w:rsidRPr="006338BC">
        <w:rPr>
          <w:noProof/>
          <w:lang w:val="en-US"/>
        </w:rPr>
        <w:t>(2020)</w:t>
      </w:r>
      <w:r>
        <w:rPr>
          <w:lang w:val="en-US"/>
        </w:rPr>
        <w:fldChar w:fldCharType="end"/>
      </w:r>
      <w:r>
        <w:rPr>
          <w:lang w:val="en-US"/>
        </w:rPr>
        <w:t xml:space="preserve"> , this finding (of projected total available beds) is potentially overestimated.</w:t>
      </w:r>
    </w:p>
    <w:p w14:paraId="38B04E9F" w14:textId="07523BBC" w:rsidR="006940B5" w:rsidRDefault="00A35A41" w:rsidP="00372D78">
      <w:pPr>
        <w:ind w:firstLine="576"/>
        <w:jc w:val="both"/>
        <w:rPr>
          <w:lang w:val="en-US"/>
        </w:rPr>
      </w:pPr>
      <w:r>
        <w:rPr>
          <w:lang w:val="en-US"/>
        </w:rPr>
        <w:t xml:space="preserve">Furthermore, the implemented statistical analysis in this research was conducted on a single scenario (i.e., 90 </w:t>
      </w:r>
      <w:r w:rsidR="00A75314">
        <w:rPr>
          <w:lang w:val="en-US"/>
        </w:rPr>
        <w:t>days’ time</w:t>
      </w:r>
      <w:r>
        <w:rPr>
          <w:lang w:val="en-US"/>
        </w:rPr>
        <w:t xml:space="preserve"> horizon and 80%</w:t>
      </w:r>
      <w:r w:rsidR="00A75314">
        <w:rPr>
          <w:lang w:val="en-US"/>
        </w:rPr>
        <w:t xml:space="preserve"> BOR) while other researchers have often conducted multiple scenario’s with a defined base-case, best-case,</w:t>
      </w:r>
      <w:r w:rsidR="00872B04">
        <w:rPr>
          <w:lang w:val="en-US"/>
        </w:rPr>
        <w:t xml:space="preserve"> and </w:t>
      </w:r>
      <w:r w:rsidR="00A75314">
        <w:rPr>
          <w:lang w:val="en-US"/>
        </w:rPr>
        <w:t>worst-case scenario</w:t>
      </w:r>
      <w:r w:rsidR="00872B04">
        <w:rPr>
          <w:lang w:val="en-US"/>
        </w:rPr>
        <w:t>s</w:t>
      </w:r>
      <w:r w:rsidR="00A75314">
        <w:rPr>
          <w:lang w:val="en-US"/>
        </w:rPr>
        <w:t xml:space="preserve"> and compared results of each scenario </w:t>
      </w:r>
      <w:r w:rsidR="00A75314">
        <w:rPr>
          <w:lang w:val="en-US"/>
        </w:rPr>
        <w:fldChar w:fldCharType="begin" w:fldLock="1"/>
      </w:r>
      <w:r w:rsidR="00587838">
        <w:rPr>
          <w:lang w:val="en-US"/>
        </w:rPr>
        <w:instrText>ADDIN CSL_CITATION {"citationItems":[{"id":"ITEM-1","itemData":{"DOI":"10.7326/M20-1260","ISSN":"0003-4819","author":[{"dropping-particle":"","family":"Weissman","given":"Gary E.","non-dropping-particle":"","parse-names":false,"suffix":""},{"dropping-particle":"","family":"Crane-Droesch","given":"Andrew","non-dropping-particle":"","parse-names":false,"suffix":""},{"dropping-particle":"","family":"Chivers","given":"Corey","non-dropping-particle":"","parse-names":false,"suffix":""},{"dropping-particle":"","family":"Luong","given":"ThaiBinh","non-dropping-particle":"","parse-names":false,"suffix":""},{"dropping-particle":"","family":"Hanish","given":"Asaf","non-dropping-particle":"","parse-names":false,"suffix":""},{"dropping-particle":"","family":"Levy","given":"Michael Z.","non-dropping-particle":"","parse-names":false,"suffix":""},{"dropping-particle":"","family":"Lubken","given":"Jason","non-dropping-particle":"","parse-names":false,"suffix":""},{"dropping-particle":"","family":"Becker","given":"Michael","non-dropping-particle":"","parse-names":false,"suffix":""},{"dropping-particle":"","family":"Draugelis","given":"Michael E.","non-dropping-particle":"","parse-names":false,"suffix":""},{"dropping-particle":"","family":"Anesi","given":"George L.","non-dropping-particle":"","parse-names":false,"suffix":""},{"dropping-particle":"","family":"Brennan","given":"Patrick J.","non-dropping-particle":"","parse-names":false,"suffix":""},{"dropping-particle":"","family":"Christie","given":"Jason D.","non-dropping-particle":"","parse-names":false,"suffix":""},{"dropping-particle":"","family":"Hanson","given":"C. William","non-dropping-particle":"","parse-names":false,"suffix":""},{"dropping-particle":"","family":"Mikkelsen","given":"Mark E.","non-dropping-particle":"","parse-names":false,"suffix":""},{"dropping-particle":"","family":"Halpern","given":"Scott D.","non-dropping-particle":"","parse-names":false,"suffix":""}],"container-title":"Annals of Internal Medicine","id":"ITEM-1","issue":"1","issued":{"date-parts":[["2020","7","7"]]},"page":"21-28","title":"Locally Informed Simulation to Predict Hospital Capacity Needs During the COVID-19 Pandemic","type":"article-journal","volume":"173"},"uris":["http://www.mendeley.com/documents/?uuid=4967db05-abc8-4032-b958-0ef7c1920280"]},{"id":"ITEM-2","itemData":{"DOI":"10.1503/cmaj.200457","ISSN":"0820-3946","author":[{"dropping-particle":"","family":"Shoukat","given":"Affan","non-dropping-particle":"","parse-names":false,"suffix":""},{"dropping-particle":"","family":"Wells","given":"Chad R.","non-dropping-particle":"","parse-names":false,"suffix":""},{"dropping-particle":"","family":"Langley","given":"Joanne M.","non-dropping-particle":"","parse-names":false,"suffix":""},{"dropping-particle":"","family":"Singer","given":"Burton H.","non-dropping-particle":"","parse-names":false,"suffix":""},{"dropping-particle":"","family":"Galvani","given":"Alison P.","non-dropping-particle":"","parse-names":false,"suffix":""},{"dropping-particle":"","family":"Moghadas","given":"Seyed M.","non-dropping-particle":"","parse-names":false,"suffix":""}],"container-title":"Canadian Medical Association Journal","id":"ITEM-2","issue":"19","issued":{"date-parts":[["2020","5","11"]]},"page":"E489-E496","title":"Projecting demand for critical care beds during COVID-19 outbreaks in Canada","type":"article-journal","volume":"192"},"uris":["http://www.mendeley.com/documents/?uuid=af925a68-16ce-46d1-b33a-824acd96aa76"]}],"mendeley":{"formattedCitation":"(Shoukat et al., 2020; Weissman et al., 2020)","plainTextFormattedCitation":"(Shoukat et al., 2020; Weissman et al., 2020)","previouslyFormattedCitation":"(Shoukat et al., 2020; Weissman et al., 2020)"},"properties":{"noteIndex":0},"schema":"https://github.com/citation-style-language/schema/raw/master/csl-citation.json"}</w:instrText>
      </w:r>
      <w:r w:rsidR="00A75314">
        <w:rPr>
          <w:lang w:val="en-US"/>
        </w:rPr>
        <w:fldChar w:fldCharType="separate"/>
      </w:r>
      <w:r w:rsidR="00A75314" w:rsidRPr="00A75314">
        <w:rPr>
          <w:noProof/>
          <w:lang w:val="en-US"/>
        </w:rPr>
        <w:t>(Shoukat et al., 2020; Weissman et al., 2020)</w:t>
      </w:r>
      <w:r w:rsidR="00A75314">
        <w:rPr>
          <w:lang w:val="en-US"/>
        </w:rPr>
        <w:fldChar w:fldCharType="end"/>
      </w:r>
      <w:r w:rsidR="00A75314">
        <w:rPr>
          <w:lang w:val="en-US"/>
        </w:rPr>
        <w:t>.</w:t>
      </w:r>
      <w:r w:rsidR="00372D78">
        <w:rPr>
          <w:lang w:val="en-US"/>
        </w:rPr>
        <w:t xml:space="preserve"> </w:t>
      </w:r>
    </w:p>
    <w:p w14:paraId="48085F0D" w14:textId="3B23A54B" w:rsidR="00A35A41" w:rsidRDefault="00372D78" w:rsidP="00372D78">
      <w:pPr>
        <w:ind w:firstLine="576"/>
        <w:jc w:val="both"/>
        <w:rPr>
          <w:lang w:val="en-US"/>
        </w:rPr>
      </w:pPr>
      <w:r>
        <w:rPr>
          <w:lang w:val="en-US"/>
        </w:rPr>
        <w:t>Several variables in the adopted scenario were calculated from publicly available data or reports</w:t>
      </w:r>
      <w:r w:rsidR="00923A41">
        <w:rPr>
          <w:lang w:val="en-US"/>
        </w:rPr>
        <w:t>, such as the total beds and the occupancy rates</w:t>
      </w:r>
      <w:r>
        <w:rPr>
          <w:lang w:val="en-US"/>
        </w:rPr>
        <w:t>, which may be inconsistent or inaccurate</w:t>
      </w:r>
      <w:r w:rsidR="00923A41">
        <w:rPr>
          <w:lang w:val="en-US"/>
        </w:rPr>
        <w:t xml:space="preserve">. This stresses </w:t>
      </w:r>
      <w:r>
        <w:rPr>
          <w:lang w:val="en-US"/>
        </w:rPr>
        <w:t xml:space="preserve">the importance of the Kingdom of Bahrain to </w:t>
      </w:r>
      <w:r w:rsidR="00E26975">
        <w:rPr>
          <w:lang w:val="en-US"/>
        </w:rPr>
        <w:t xml:space="preserve">monitor, maintain and </w:t>
      </w:r>
      <w:r>
        <w:rPr>
          <w:lang w:val="en-US"/>
        </w:rPr>
        <w:t xml:space="preserve">publicly avail such data (i.e., total beds, bed occupancy rate) for research </w:t>
      </w:r>
      <w:r w:rsidR="00924D18">
        <w:rPr>
          <w:lang w:val="en-US"/>
        </w:rPr>
        <w:t xml:space="preserve">purposes </w:t>
      </w:r>
      <w:r>
        <w:rPr>
          <w:lang w:val="en-US"/>
        </w:rPr>
        <w:t xml:space="preserve">and to better plan and respond to the COVID-19 </w:t>
      </w:r>
      <w:r w:rsidR="00924D18">
        <w:rPr>
          <w:lang w:val="en-US"/>
        </w:rPr>
        <w:t xml:space="preserve">or other </w:t>
      </w:r>
      <w:r>
        <w:rPr>
          <w:lang w:val="en-US"/>
        </w:rPr>
        <w:t>epidemic</w:t>
      </w:r>
      <w:r w:rsidR="00924D18">
        <w:rPr>
          <w:lang w:val="en-US"/>
        </w:rPr>
        <w:t>s</w:t>
      </w:r>
      <w:r>
        <w:rPr>
          <w:lang w:val="en-US"/>
        </w:rPr>
        <w:t>.</w:t>
      </w:r>
    </w:p>
    <w:p w14:paraId="660741EF" w14:textId="72C77C35" w:rsidR="00BC31D5" w:rsidRDefault="00813963" w:rsidP="00BC31D5">
      <w:pPr>
        <w:ind w:firstLine="576"/>
        <w:jc w:val="both"/>
        <w:rPr>
          <w:lang w:val="en-US"/>
        </w:rPr>
      </w:pPr>
      <w:r>
        <w:rPr>
          <w:lang w:val="en-US"/>
        </w:rPr>
        <w:t>T</w:t>
      </w:r>
      <w:r w:rsidR="00F6156A">
        <w:rPr>
          <w:lang w:val="en-US"/>
        </w:rPr>
        <w:t xml:space="preserve">his research did not </w:t>
      </w:r>
      <w:r w:rsidR="00BA783B">
        <w:rPr>
          <w:lang w:val="en-US"/>
        </w:rPr>
        <w:t>consider</w:t>
      </w:r>
      <w:r w:rsidR="00F6156A">
        <w:rPr>
          <w:lang w:val="en-US"/>
        </w:rPr>
        <w:t xml:space="preserve"> the demographic composition of the Kingdom of Bahrain, social </w:t>
      </w:r>
      <w:r w:rsidR="00BA783B">
        <w:rPr>
          <w:lang w:val="en-US"/>
        </w:rPr>
        <w:t>connections/ties</w:t>
      </w:r>
      <w:r w:rsidR="00F6156A">
        <w:rPr>
          <w:lang w:val="en-US"/>
        </w:rPr>
        <w:t>, governmental policies</w:t>
      </w:r>
      <w:r w:rsidR="00E26975">
        <w:rPr>
          <w:lang w:val="en-US"/>
        </w:rPr>
        <w:t xml:space="preserve"> </w:t>
      </w:r>
      <w:r w:rsidR="00E26975">
        <w:rPr>
          <w:lang w:val="en-US"/>
        </w:rPr>
        <w:fldChar w:fldCharType="begin" w:fldLock="1"/>
      </w:r>
      <w:r w:rsidR="00110915">
        <w:rPr>
          <w:lang w:val="en-US"/>
        </w:rPr>
        <w:instrText>ADDIN CSL_CITATION {"citationItems":[{"id":"ITEM-1","itemData":{"URL":"https://www.imf.org/en/Topics/imf-and-covid19/Policy-Responses-to-COVID-19","author":[{"dropping-particle":"","family":"International Monetary Fund","given":"","non-dropping-particle":"","parse-names":false,"suffix":""}],"id":"ITEM-1","issued":{"date-parts":[["2020"]]},"title":"POLICY RESPONSES TO COVID-19","type":"webpage"},"uris":["http://www.mendeley.com/documents/?uuid=6967b65c-5195-48ed-a153-befca94bf67c"]}],"mendeley":{"formattedCitation":"(International Monetary Fund, 2020)","plainTextFormattedCitation":"(International Monetary Fund, 2020)","previouslyFormattedCitation":"(International Monetary Fund, 2020)"},"properties":{"noteIndex":0},"schema":"https://github.com/citation-style-language/schema/raw/master/csl-citation.json"}</w:instrText>
      </w:r>
      <w:r w:rsidR="00E26975">
        <w:rPr>
          <w:lang w:val="en-US"/>
        </w:rPr>
        <w:fldChar w:fldCharType="separate"/>
      </w:r>
      <w:r w:rsidR="00E26975" w:rsidRPr="00E26975">
        <w:rPr>
          <w:noProof/>
          <w:lang w:val="en-US"/>
        </w:rPr>
        <w:t>(International Monetary Fund, 2020)</w:t>
      </w:r>
      <w:r w:rsidR="00E26975">
        <w:rPr>
          <w:lang w:val="en-US"/>
        </w:rPr>
        <w:fldChar w:fldCharType="end"/>
      </w:r>
      <w:r w:rsidR="00F6156A">
        <w:rPr>
          <w:lang w:val="en-US"/>
        </w:rPr>
        <w:t xml:space="preserve"> and restrictions</w:t>
      </w:r>
      <w:r w:rsidR="00E26975">
        <w:rPr>
          <w:lang w:val="en-US"/>
        </w:rPr>
        <w:t xml:space="preserve"> </w:t>
      </w:r>
      <w:r w:rsidR="00E26975">
        <w:rPr>
          <w:lang w:val="en-US"/>
        </w:rPr>
        <w:fldChar w:fldCharType="begin" w:fldLock="1"/>
      </w:r>
      <w:r w:rsidR="00E26975">
        <w:rPr>
          <w:lang w:val="en-US"/>
        </w:rPr>
        <w:instrText>ADDIN CSL_CITATION {"citationItems":[{"id":"ITEM-1","itemData":{"DOI":"10.1016/j.jiph.2020.05.020","ISSN":"18760341","author":[{"dropping-particle":"","family":"Alandijany","given":"Thamir A.","non-dropping-particle":"","parse-names":false,"suffix":""},{"dropping-particle":"","family":"Faizo","given":"Arwa A.","non-dropping-particle":"","parse-names":false,"suffix":""},{"dropping-particle":"","family":"Azhar","given":"Esam I.","non-dropping-particle":"","parse-names":false,"suffix":""}],"container-title":"Journal of Infection and Public Health","id":"ITEM-1","issue":"6","issued":{"date-parts":[["2020","6"]]},"page":"839-842","title":"Coronavirus disease of 2019 (COVID-19) in the Gulf Cooperation Council (GCC) countries: Current status and management practices","type":"article-journal","volume":"13"},"uris":["http://www.mendeley.com/documents/?uuid=461a3e43-2831-40bf-89ac-98b013786f7e"]}],"mendeley":{"formattedCitation":"(Alandijany et al., 2020)","plainTextFormattedCitation":"(Alandijany et al., 2020)","previouslyFormattedCitation":"(Alandijany et al., 2020)"},"properties":{"noteIndex":0},"schema":"https://github.com/citation-style-language/schema/raw/master/csl-citation.json"}</w:instrText>
      </w:r>
      <w:r w:rsidR="00E26975">
        <w:rPr>
          <w:lang w:val="en-US"/>
        </w:rPr>
        <w:fldChar w:fldCharType="separate"/>
      </w:r>
      <w:r w:rsidR="00E26975" w:rsidRPr="00E26975">
        <w:rPr>
          <w:noProof/>
          <w:lang w:val="en-US"/>
        </w:rPr>
        <w:t>(Alandijany et al., 2020)</w:t>
      </w:r>
      <w:r w:rsidR="00E26975">
        <w:rPr>
          <w:lang w:val="en-US"/>
        </w:rPr>
        <w:fldChar w:fldCharType="end"/>
      </w:r>
      <w:r w:rsidR="00F6156A">
        <w:rPr>
          <w:lang w:val="en-US"/>
        </w:rPr>
        <w:t>,</w:t>
      </w:r>
      <w:r w:rsidR="003E6BE4">
        <w:rPr>
          <w:lang w:val="en-US"/>
        </w:rPr>
        <w:t xml:space="preserve"> common diseases such as sickle cell,</w:t>
      </w:r>
      <w:r w:rsidR="00110915">
        <w:rPr>
          <w:lang w:val="en-US"/>
        </w:rPr>
        <w:t xml:space="preserve"> spatial variation </w:t>
      </w:r>
      <w:r w:rsidR="00110915">
        <w:rPr>
          <w:lang w:val="en-US"/>
        </w:rPr>
        <w:fldChar w:fldCharType="begin" w:fldLock="1"/>
      </w:r>
      <w:r w:rsidR="000B17EA">
        <w:rPr>
          <w:lang w:val="en-US"/>
        </w:rPr>
        <w:instrText>ADDIN CSL_CITATION {"citationItems":[{"id":"ITEM-1","itemData":{"DOI":"10.31219/osf.io/g8s96","author":[{"dropping-particle":"","family":"Verhagen","given":"Mark","non-dropping-particle":"","parse-names":false,"suffix":""},{"dropping-particle":"","family":"Brazel","given":"David","non-dropping-particle":"","parse-names":false,"suffix":""},{"dropping-particle":"","family":"Dowd","given":"Jennifer","non-dropping-particle":"","parse-names":false,"suffix":""},{"dropping-particle":"","family":"Kashnitsky","given":"Ilya","non-dropping-particle":"","parse-names":false,"suffix":""},{"dropping-particle":"","family":"Mills","given":"Melinda","non-dropping-particle":"","parse-names":false,"suffix":""}],"id":"ITEM-1","issued":{"date-parts":[["2020","3","21"]]},"title":"Mapping hospital demand: demographics, spatial variation, and the risk of “hospital deserts” during COVID-19 in England and Wales","type":"book"},"uris":["http://www.mendeley.com/documents/?uuid=d5b95ce6-d1e2-4f2b-90f2-9fd8b432d0ab"]}],"mendeley":{"formattedCitation":"(Verhagen et al., 2020)","plainTextFormattedCitation":"(Verhagen et al., 2020)","previouslyFormattedCitation":"(Verhagen et al., 2020)"},"properties":{"noteIndex":0},"schema":"https://github.com/citation-style-language/schema/raw/master/csl-citation.json"}</w:instrText>
      </w:r>
      <w:r w:rsidR="00110915">
        <w:rPr>
          <w:lang w:val="en-US"/>
        </w:rPr>
        <w:fldChar w:fldCharType="separate"/>
      </w:r>
      <w:r w:rsidR="00110915" w:rsidRPr="00110915">
        <w:rPr>
          <w:noProof/>
          <w:lang w:val="en-US"/>
        </w:rPr>
        <w:t>(Verhagen et al., 2020)</w:t>
      </w:r>
      <w:r w:rsidR="00110915">
        <w:rPr>
          <w:lang w:val="en-US"/>
        </w:rPr>
        <w:fldChar w:fldCharType="end"/>
      </w:r>
      <w:r w:rsidR="00110915">
        <w:rPr>
          <w:lang w:val="en-US"/>
        </w:rPr>
        <w:t xml:space="preserve"> or geographical locations,</w:t>
      </w:r>
      <w:r w:rsidR="00F6156A">
        <w:rPr>
          <w:lang w:val="en-US"/>
        </w:rPr>
        <w:t xml:space="preserve"> or other variables that may have played a role in the control and limiting of the</w:t>
      </w:r>
      <w:r w:rsidR="009F3C80">
        <w:rPr>
          <w:lang w:val="en-US"/>
        </w:rPr>
        <w:t xml:space="preserve"> spread of the COVID-19 disease.</w:t>
      </w:r>
      <w:r w:rsidR="00F27A16">
        <w:rPr>
          <w:lang w:val="en-US"/>
        </w:rPr>
        <w:t xml:space="preserve"> A more elaborate and complex model to simulate and incorporate these variables to better understand the spread of COVID-19 would be helpful, </w:t>
      </w:r>
      <w:r w:rsidR="002B4338">
        <w:rPr>
          <w:lang w:val="en-US"/>
        </w:rPr>
        <w:t xml:space="preserve">along with </w:t>
      </w:r>
      <w:r w:rsidR="00F27A16">
        <w:rPr>
          <w:lang w:val="en-US"/>
        </w:rPr>
        <w:t xml:space="preserve">more information about COVID-19 </w:t>
      </w:r>
      <w:r w:rsidR="002B4338">
        <w:rPr>
          <w:lang w:val="en-US"/>
        </w:rPr>
        <w:t>such as impact of temperature or season on the spread of the diseases</w:t>
      </w:r>
      <w:r w:rsidR="00F27A16">
        <w:rPr>
          <w:lang w:val="en-US"/>
        </w:rPr>
        <w:t>.</w:t>
      </w:r>
    </w:p>
    <w:p w14:paraId="3A7F5B33" w14:textId="07182560" w:rsidR="00EC31E0" w:rsidRPr="00922142" w:rsidRDefault="00EC31E0" w:rsidP="00EC31E0">
      <w:pPr>
        <w:ind w:firstLine="576"/>
        <w:jc w:val="both"/>
        <w:rPr>
          <w:lang w:val="en-US"/>
        </w:rPr>
      </w:pPr>
      <w:r>
        <w:rPr>
          <w:lang w:val="en-US"/>
        </w:rPr>
        <w:lastRenderedPageBreak/>
        <w:t>&lt;</w:t>
      </w:r>
      <w:r>
        <w:rPr>
          <w:highlight w:val="green"/>
          <w:lang w:val="en-US"/>
        </w:rPr>
        <w:t xml:space="preserve">think of more things to discuss related </w:t>
      </w:r>
      <w:r>
        <w:rPr>
          <w:lang w:val="en-US"/>
        </w:rPr>
        <w:t>&gt;</w:t>
      </w:r>
    </w:p>
    <w:p w14:paraId="5CEB7DF5" w14:textId="77777777" w:rsidR="00EC31E0" w:rsidRDefault="00EC31E0" w:rsidP="00BC31D5">
      <w:pPr>
        <w:ind w:firstLine="576"/>
        <w:jc w:val="both"/>
        <w:rPr>
          <w:lang w:val="en-US"/>
        </w:rPr>
      </w:pPr>
    </w:p>
    <w:p w14:paraId="0EF19835" w14:textId="77777777" w:rsidR="005B0AC0" w:rsidRDefault="005B0AC0">
      <w:pPr>
        <w:spacing w:after="160" w:line="259" w:lineRule="auto"/>
        <w:rPr>
          <w:rFonts w:eastAsiaTheme="majorEastAsia" w:cs="Times New Roman"/>
          <w:b/>
          <w:bCs w:val="0"/>
          <w:color w:val="auto"/>
          <w:sz w:val="36"/>
          <w:szCs w:val="36"/>
          <w:lang w:val="en-US"/>
        </w:rPr>
      </w:pPr>
      <w:bookmarkStart w:id="104" w:name="_Ref58689204"/>
      <w:bookmarkStart w:id="105" w:name="_Ref58689212"/>
      <w:r>
        <w:rPr>
          <w:lang w:val="en-US"/>
        </w:rPr>
        <w:br w:type="page"/>
      </w:r>
    </w:p>
    <w:p w14:paraId="0291A6F1" w14:textId="1941DE15" w:rsidR="003E4AB1" w:rsidRDefault="000B719B" w:rsidP="003E4AB1">
      <w:pPr>
        <w:pStyle w:val="UOB-Headings"/>
        <w:rPr>
          <w:lang w:val="en-US"/>
        </w:rPr>
      </w:pPr>
      <w:bookmarkStart w:id="106" w:name="_Toc59172929"/>
      <w:r>
        <w:rPr>
          <w:lang w:val="en-US"/>
        </w:rPr>
        <w:lastRenderedPageBreak/>
        <w:t>Conclusion</w:t>
      </w:r>
      <w:bookmarkEnd w:id="99"/>
      <w:bookmarkEnd w:id="104"/>
      <w:bookmarkEnd w:id="105"/>
      <w:bookmarkEnd w:id="106"/>
    </w:p>
    <w:p w14:paraId="0D40F3C2" w14:textId="05AD4E0E" w:rsidR="00C561C3" w:rsidRDefault="00C561C3" w:rsidP="00C561C3">
      <w:pPr>
        <w:ind w:firstLine="576"/>
        <w:jc w:val="both"/>
        <w:rPr>
          <w:lang w:val="en-US"/>
        </w:rPr>
      </w:pPr>
      <w:bookmarkStart w:id="107" w:name="_Ref58688229"/>
      <w:r>
        <w:rPr>
          <w:lang w:val="en-US"/>
        </w:rPr>
        <w:t>In conclusion, the Logistic Growth Model had a good fit with the data related to the COVID-19 total cases</w:t>
      </w:r>
      <w:r w:rsidR="00D244EF">
        <w:rPr>
          <w:lang w:val="en-US"/>
        </w:rPr>
        <w:t>, however set a relatively low maximum number of total COVID-19 cases. It would be beneficial to include and compare other scenarios or modeling approaches such as the SIR to be able to comment on the accuracy of the selected model relative to others.</w:t>
      </w:r>
      <w:r w:rsidR="00754FF3">
        <w:rPr>
          <w:lang w:val="en-US"/>
        </w:rPr>
        <w:t xml:space="preserve"> Nonetheless, due to the great efforts of the Kingdom of Bahrain, guided by the National Taskforce for Combating the Coronavirus (COVID-19) to ensure a preparedness and a rapid response to spread of the disease, the Kingdom of Bahrain will not reach saturation in terms of bed capacity, with an estimated surplus of 5,300 available beds across hospitals, </w:t>
      </w:r>
      <w:r w:rsidR="0089273B">
        <w:rPr>
          <w:lang w:val="en-US"/>
        </w:rPr>
        <w:t>isolation,</w:t>
      </w:r>
      <w:r w:rsidR="00754FF3">
        <w:rPr>
          <w:lang w:val="en-US"/>
        </w:rPr>
        <w:t xml:space="preserve"> and quarantine centers.</w:t>
      </w:r>
    </w:p>
    <w:p w14:paraId="34CEC418" w14:textId="1A4B204B" w:rsidR="00CE18F8" w:rsidRPr="00922142" w:rsidRDefault="00CE18F8" w:rsidP="00C561C3">
      <w:pPr>
        <w:ind w:firstLine="576"/>
        <w:jc w:val="both"/>
        <w:rPr>
          <w:lang w:val="en-US"/>
        </w:rPr>
      </w:pPr>
      <w:r>
        <w:rPr>
          <w:lang w:val="en-US"/>
        </w:rPr>
        <w:t>&lt;</w:t>
      </w:r>
      <w:r w:rsidRPr="00CE18F8">
        <w:rPr>
          <w:highlight w:val="green"/>
          <w:lang w:val="en-US"/>
        </w:rPr>
        <w:t>conclude something</w:t>
      </w:r>
      <w:r w:rsidR="0089273B">
        <w:rPr>
          <w:highlight w:val="green"/>
          <w:lang w:val="en-US"/>
        </w:rPr>
        <w:t xml:space="preserve"> here more if you feel like we need to</w:t>
      </w:r>
      <w:r w:rsidRPr="00CE18F8">
        <w:rPr>
          <w:highlight w:val="green"/>
          <w:lang w:val="en-US"/>
        </w:rPr>
        <w:t xml:space="preserve"> </w:t>
      </w:r>
      <w:r>
        <w:rPr>
          <w:lang w:val="en-US"/>
        </w:rPr>
        <w:t>&gt;</w:t>
      </w:r>
    </w:p>
    <w:p w14:paraId="73686212" w14:textId="79367DD4" w:rsidR="003E4AB1" w:rsidRPr="000B719B" w:rsidRDefault="000B719B" w:rsidP="000B719B">
      <w:pPr>
        <w:pStyle w:val="UOB-Headings"/>
        <w:rPr>
          <w:lang w:val="en-US"/>
        </w:rPr>
      </w:pPr>
      <w:bookmarkStart w:id="108" w:name="_Ref58689220"/>
      <w:bookmarkStart w:id="109" w:name="_Toc59172930"/>
      <w:r>
        <w:rPr>
          <w:lang w:val="en-US"/>
        </w:rPr>
        <w:t>Recommendations</w:t>
      </w:r>
      <w:bookmarkEnd w:id="107"/>
      <w:r w:rsidR="00411A06">
        <w:rPr>
          <w:lang w:val="en-US"/>
        </w:rPr>
        <w:t xml:space="preserve"> and Limitations</w:t>
      </w:r>
      <w:bookmarkEnd w:id="108"/>
      <w:bookmarkEnd w:id="109"/>
    </w:p>
    <w:p w14:paraId="6DF4B0B8" w14:textId="77777777" w:rsidR="0070059C" w:rsidRDefault="0070059C" w:rsidP="0070059C">
      <w:pPr>
        <w:ind w:firstLine="576"/>
        <w:jc w:val="both"/>
        <w:rPr>
          <w:lang w:val="en-US"/>
        </w:rPr>
      </w:pPr>
      <w:r>
        <w:rPr>
          <w:lang w:val="en-US"/>
        </w:rPr>
        <w:t>This research was conducted to forecast the number of COVID-19 cases in the Kingdom of Bahrain over a three months (90 days) time-period. Though it has implemented a commonly used population growth model, Logistic Growth Model, it is always recommended to run multiple simulations and predictions using multiple models, such as the several variations of the Susceptible, Infected, Removed or Recovered (SIR) model, to compare between model outcomes and a decide on which is most accurate.</w:t>
      </w:r>
    </w:p>
    <w:p w14:paraId="5F2C8119" w14:textId="24F55F5D" w:rsidR="0070059C" w:rsidRDefault="0070059C" w:rsidP="0070059C">
      <w:pPr>
        <w:ind w:firstLine="576"/>
        <w:jc w:val="both"/>
        <w:rPr>
          <w:lang w:val="en-US"/>
        </w:rPr>
      </w:pPr>
      <w:r>
        <w:rPr>
          <w:lang w:val="en-US"/>
        </w:rPr>
        <w:t xml:space="preserve">It is highly recommended that further research is conducted to publicly avail and maintain records with regards to the overall health system capacity in Bahrain (including but not limited to the inventory and classification of general beds, ICU beds, and ventilators). Such metrics are vital in understanding the overall preparedness of the health system to respond to the COVID-19 epidemic </w:t>
      </w:r>
      <w:r>
        <w:rPr>
          <w:lang w:val="en-US"/>
        </w:rPr>
        <w:fldChar w:fldCharType="begin" w:fldLock="1"/>
      </w:r>
      <w:r w:rsidR="004656FF">
        <w:rPr>
          <w:lang w:val="en-US"/>
        </w:rPr>
        <w:instrText>ADDIN CSL_CITATION {"citationItems":[{"id":"ITEM-1","itemData":{"DOI":"10.1371/journal.pone.0236308","ISSN":"1932-6203","author":[{"dropping-particle":"","family":"Barasa","given":"Edwine W.","non-dropping-particle":"","parse-names":false,"suffix":""},{"dropping-particle":"","family":"Ouma","given":"Paul O.","non-dropping-particle":"","parse-names":false,"suffix":""},{"dropping-particle":"","family":"Okiro","given":"Emelda A.","non-dropping-particle":"","parse-names":false,"suffix":""}],"container-title":"PLOS ONE","editor":[{"dropping-particle":"","family":"Oladimeji","given":"Olanrewaju","non-dropping-particle":"","parse-names":false,"suffix":""}],"id":"ITEM-1","issue":"7","issued":{"date-parts":[["2020","7","20"]]},"page":"e0236308","title":"Assessing the hospital surge capacity of the Kenyan health system in the face of the COVID-19 pandemic","type":"article-journal","volume":"15"},"uris":["http://www.mendeley.com/documents/?uuid=1a510558-db8b-4300-9cea-22fa2c080dfc"]}],"mendeley":{"formattedCitation":"(Barasa et al., 2020)","plainTextFormattedCitation":"(Barasa et al., 2020)","previouslyFormattedCitation":"(Barasa et al., 2020)"},"properties":{"noteIndex":0},"schema":"https://github.com/citation-style-language/schema/raw/master/csl-citation.json"}</w:instrText>
      </w:r>
      <w:r>
        <w:rPr>
          <w:lang w:val="en-US"/>
        </w:rPr>
        <w:fldChar w:fldCharType="separate"/>
      </w:r>
      <w:r w:rsidRPr="00D46739">
        <w:rPr>
          <w:noProof/>
          <w:lang w:val="en-US"/>
        </w:rPr>
        <w:t>(Barasa et al., 2020)</w:t>
      </w:r>
      <w:r>
        <w:rPr>
          <w:lang w:val="en-US"/>
        </w:rPr>
        <w:fldChar w:fldCharType="end"/>
      </w:r>
      <w:r>
        <w:rPr>
          <w:lang w:val="en-US"/>
        </w:rPr>
        <w:t xml:space="preserve">. As implemented </w:t>
      </w:r>
      <w:r>
        <w:rPr>
          <w:lang w:val="en-US"/>
        </w:rPr>
        <w:lastRenderedPageBreak/>
        <w:t>in Kenya, maintenance of a nation-wide assets inventory list and regular nation-wide surveys to document and obtain these metrics, could prove helpful in the planning and execution of the response to the COVID-19 epidemic.</w:t>
      </w:r>
    </w:p>
    <w:p w14:paraId="49617878" w14:textId="77777777" w:rsidR="0070059C" w:rsidRDefault="0070059C" w:rsidP="0070059C">
      <w:pPr>
        <w:ind w:firstLine="576"/>
        <w:jc w:val="both"/>
        <w:rPr>
          <w:lang w:val="en-US"/>
        </w:rPr>
      </w:pPr>
      <w:r>
        <w:rPr>
          <w:lang w:val="en-US"/>
        </w:rPr>
        <w:t>Furthermore, as COVID-19 is relatively novel and with limited, though growing, information on the disease and how it spreads, further investigations can be conducted to assess the impact of governmental restrictions on the spread of the disease. Such governmental policies and restrictions are not taken into consideration with models such as the Logistic Growth Model, which for a country such as Bahrain, could have played an important role in controlling and reducing the spread of the diseases.</w:t>
      </w:r>
    </w:p>
    <w:p w14:paraId="3B576C02" w14:textId="5CFAC95E" w:rsidR="0070059C" w:rsidRDefault="0070059C" w:rsidP="0070059C">
      <w:pPr>
        <w:ind w:firstLine="576"/>
        <w:jc w:val="both"/>
        <w:rPr>
          <w:lang w:val="en-US"/>
        </w:rPr>
      </w:pPr>
      <w:r>
        <w:rPr>
          <w:lang w:val="en-US"/>
        </w:rPr>
        <w:t xml:space="preserve">Holidays and occasions can also be considered as variables of interest in the modeling of infection spread, as it has been observed with latest data that there seems to a spike in infections surrounding these occasions </w:t>
      </w:r>
      <w:r>
        <w:rPr>
          <w:lang w:val="en-US"/>
        </w:rPr>
        <w:fldChar w:fldCharType="begin" w:fldLock="1"/>
      </w:r>
      <w:r>
        <w:rPr>
          <w:lang w:val="en-US"/>
        </w:rPr>
        <w:instrText>ADDIN CSL_CITATION {"citationItems":[{"id":"ITEM-1","itemData":{"URL":"https://english.alarabiya.net/en/coronavirus/2020/05/12/Coronavirus-Bahrain-reports-173-new-cases-mostly-detected-in-workers-.html","author":[{"dropping-particle":"","family":"Abueish","given":"Tamara","non-dropping-particle":"","parse-names":false,"suffix":""}],"container-title":"Al Arabiya English","id":"ITEM-1","issued":{"date-parts":[["2020"]]},"title":"Coronavirus: Bahrain reports 173 new cases, mostly detected in workers","type":"webpage"},"uris":["http://www.mendeley.com/documents/?uuid=9ce4756d-feb0-43c0-bf0c-5451eaf1dfba"]}],"mendeley":{"formattedCitation":"(Abueish, 2020)","plainTextFormattedCitation":"(Abueish, 2020)","previouslyFormattedCitation":"(Abueish, 2020)"},"properties":{"noteIndex":0},"schema":"https://github.com/citation-style-language/schema/raw/master/csl-citation.json"}</w:instrText>
      </w:r>
      <w:r>
        <w:rPr>
          <w:lang w:val="en-US"/>
        </w:rPr>
        <w:fldChar w:fldCharType="separate"/>
      </w:r>
      <w:r w:rsidRPr="006A2B51">
        <w:rPr>
          <w:noProof/>
          <w:lang w:val="en-US"/>
        </w:rPr>
        <w:t>(Abueish, 2020)</w:t>
      </w:r>
      <w:r>
        <w:rPr>
          <w:lang w:val="en-US"/>
        </w:rPr>
        <w:fldChar w:fldCharType="end"/>
      </w:r>
      <w:r>
        <w:rPr>
          <w:lang w:val="en-US"/>
        </w:rPr>
        <w:t>. Such spikes would mean that the curve (a line that represents the number of infections on a given day) will be fluctuating rapidly around those occasions (i.e., a sudden increase while the trend would be decreasing) and hence a model such as the Logistic Growth Model would not accurately capture these fluctuations as it deals with the total cumulative number of cases instead.</w:t>
      </w:r>
    </w:p>
    <w:p w14:paraId="0537C414" w14:textId="195C9868" w:rsidR="00411A06" w:rsidRDefault="00411A06" w:rsidP="00411A06">
      <w:pPr>
        <w:pStyle w:val="UOB-Subheadings"/>
        <w:rPr>
          <w:lang w:val="en-US"/>
        </w:rPr>
      </w:pPr>
      <w:bookmarkStart w:id="110" w:name="_Toc59172931"/>
      <w:r>
        <w:rPr>
          <w:lang w:val="en-US"/>
        </w:rPr>
        <w:t>Limitations</w:t>
      </w:r>
      <w:bookmarkEnd w:id="110"/>
    </w:p>
    <w:p w14:paraId="7536995F" w14:textId="77777777" w:rsidR="00722B9A" w:rsidRDefault="00722B9A" w:rsidP="00722B9A">
      <w:pPr>
        <w:ind w:firstLine="720"/>
        <w:jc w:val="both"/>
        <w:rPr>
          <w:lang w:val="en-US"/>
        </w:rPr>
      </w:pPr>
      <w:r>
        <w:rPr>
          <w:lang w:val="en-US"/>
        </w:rPr>
        <w:t>Though this research intended to implement a simplified forecast model and assessment, due to the limited time frame available to conduct this research, the authors had to oversimplify the research which resulted with several limitations and drawbacks.</w:t>
      </w:r>
    </w:p>
    <w:p w14:paraId="4AA6C38D" w14:textId="77777777" w:rsidR="00722B9A" w:rsidRDefault="00722B9A" w:rsidP="00722B9A">
      <w:pPr>
        <w:ind w:firstLine="720"/>
        <w:jc w:val="both"/>
        <w:rPr>
          <w:lang w:val="en-US"/>
        </w:rPr>
      </w:pPr>
      <w:r>
        <w:rPr>
          <w:lang w:val="en-US"/>
        </w:rPr>
        <w:t xml:space="preserve">The most prominent limitation was the exclusion of the Average Length of Stay (ALOS) research factor, which indicates the number of days </w:t>
      </w:r>
      <w:r>
        <w:rPr>
          <w:lang w:val="en-US"/>
        </w:rPr>
        <w:lastRenderedPageBreak/>
        <w:t>that a patient will occupy a bed once hospitalized due to COVID-19. This measure is important because it accurately reflects and adjusts the available beds that can be utilized to respond to COVID-19 cases that require hospitalization. With its absence, the available bed capacity is overestimated which means that there might be an occurrence where the bed capacity might reach saturation. For example, if the ALOS is defined at 7 days, then once the hospitalized cases increase by 1 unit (person) this means that the available beds will decrease by 1 unit (bed) and remain out of service for 7 days until it is re-usable to serve another patient. In this research, since ALOS is excluded, this means the patient is admitted and released on the same day, and the bed is available to serve new cases immediately the next day – which is not the case.</w:t>
      </w:r>
    </w:p>
    <w:p w14:paraId="7AA8E3BE" w14:textId="77777777" w:rsidR="00722B9A" w:rsidRDefault="00722B9A" w:rsidP="00722B9A">
      <w:pPr>
        <w:ind w:firstLine="720"/>
        <w:jc w:val="both"/>
        <w:rPr>
          <w:lang w:val="en-US"/>
        </w:rPr>
      </w:pPr>
      <w:r>
        <w:rPr>
          <w:lang w:val="en-US"/>
        </w:rPr>
        <w:t>Due to the lack of publicly available data related to the Bahraini health system, such as the total number of beds in the Kingdom or a real-time indicator on the bed occupancy rate, such variables were assumed or calculated from other sources which may not resemble the reality of the situation.</w:t>
      </w:r>
    </w:p>
    <w:p w14:paraId="3C35E2F7" w14:textId="77777777" w:rsidR="00722B9A" w:rsidRDefault="00722B9A" w:rsidP="00722B9A">
      <w:pPr>
        <w:ind w:firstLine="720"/>
        <w:jc w:val="both"/>
        <w:rPr>
          <w:lang w:val="en-US"/>
        </w:rPr>
      </w:pPr>
      <w:r>
        <w:rPr>
          <w:lang w:val="en-US"/>
        </w:rPr>
        <w:t>Furthermore, due to not implementing different growth prediction models, drawing conclusions on the accuracy of the selected model cannot be done and hence the findings (number of cases) maybe be underestimated.</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5"/>
          <w:footerReference w:type="default" r:id="rId36"/>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111" w:name="_Toc59172932"/>
      <w:r>
        <w:lastRenderedPageBreak/>
        <w:t>References</w:t>
      </w:r>
      <w:bookmarkEnd w:id="111"/>
    </w:p>
    <w:p w14:paraId="7689C099" w14:textId="04ED9B27" w:rsidR="00E47744" w:rsidRPr="00E47744" w:rsidRDefault="00CF6DA9" w:rsidP="00E47744">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E47744" w:rsidRPr="00E47744">
        <w:rPr>
          <w:rFonts w:cs="Times New Roman"/>
          <w:noProof/>
        </w:rPr>
        <w:t xml:space="preserve">Abueish, T. (2020). </w:t>
      </w:r>
      <w:r w:rsidR="00E47744" w:rsidRPr="00E47744">
        <w:rPr>
          <w:rFonts w:cs="Times New Roman"/>
          <w:i/>
          <w:iCs/>
          <w:noProof/>
        </w:rPr>
        <w:t>Coronavirus: Bahrain reports 173 new cases, mostly detected in workers</w:t>
      </w:r>
      <w:r w:rsidR="00E47744" w:rsidRPr="00E47744">
        <w:rPr>
          <w:rFonts w:cs="Times New Roman"/>
          <w:noProof/>
        </w:rPr>
        <w:t>. Al Arabiya English. https://english.alarabiya.net/en/coronavirus/2020/05/12/Coronavirus-Bahrain-reports-173-new-cases-mostly-detected-in-workers-.html</w:t>
      </w:r>
    </w:p>
    <w:p w14:paraId="1DAEB7FA"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Alandijany, T. A., Faizo, A. A., &amp; Azhar, E. I. (2020). Coronavirus disease of 2019 (COVID-19) in the Gulf Cooperation Council (GCC) countries: Current status and management practices. </w:t>
      </w:r>
      <w:r w:rsidRPr="00E47744">
        <w:rPr>
          <w:rFonts w:cs="Times New Roman"/>
          <w:i/>
          <w:iCs/>
          <w:noProof/>
        </w:rPr>
        <w:t>Journal of Infection and Public Health</w:t>
      </w:r>
      <w:r w:rsidRPr="00E47744">
        <w:rPr>
          <w:rFonts w:cs="Times New Roman"/>
          <w:noProof/>
        </w:rPr>
        <w:t xml:space="preserve">, </w:t>
      </w:r>
      <w:r w:rsidRPr="00E47744">
        <w:rPr>
          <w:rFonts w:cs="Times New Roman"/>
          <w:i/>
          <w:iCs/>
          <w:noProof/>
        </w:rPr>
        <w:t>13</w:t>
      </w:r>
      <w:r w:rsidRPr="00E47744">
        <w:rPr>
          <w:rFonts w:cs="Times New Roman"/>
          <w:noProof/>
        </w:rPr>
        <w:t>(6), 839–842. https://doi.org/10.1016/j.jiph.2020.05.020</w:t>
      </w:r>
    </w:p>
    <w:p w14:paraId="52D4B82D"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Alboaneen, D., Pranggono, B., Alshammari, D., Alqahtani, N., &amp; Alyaffer, R. (2020). Predicting the Epidemiological Outbreak of the Coronavirus Disease 2019 (COVID-19) in Saudi Arabia. </w:t>
      </w:r>
      <w:r w:rsidRPr="00E47744">
        <w:rPr>
          <w:rFonts w:cs="Times New Roman"/>
          <w:i/>
          <w:iCs/>
          <w:noProof/>
        </w:rPr>
        <w:t>International Journal of Environmental Research and Public Health</w:t>
      </w:r>
      <w:r w:rsidRPr="00E47744">
        <w:rPr>
          <w:rFonts w:cs="Times New Roman"/>
          <w:noProof/>
        </w:rPr>
        <w:t xml:space="preserve">, </w:t>
      </w:r>
      <w:r w:rsidRPr="00E47744">
        <w:rPr>
          <w:rFonts w:cs="Times New Roman"/>
          <w:i/>
          <w:iCs/>
          <w:noProof/>
        </w:rPr>
        <w:t>17</w:t>
      </w:r>
      <w:r w:rsidRPr="00E47744">
        <w:rPr>
          <w:rFonts w:cs="Times New Roman"/>
          <w:noProof/>
        </w:rPr>
        <w:t>(12), 4568. https://doi.org/10.3390/ijerph17124568</w:t>
      </w:r>
    </w:p>
    <w:p w14:paraId="45AA85B1"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Barasa, E. W., Ouma, P. O., &amp; Okiro, E. A. (2020). Assessing the hospital surge capacity of the Kenyan health system in the face of the COVID-19 pandemic. </w:t>
      </w:r>
      <w:r w:rsidRPr="00E47744">
        <w:rPr>
          <w:rFonts w:cs="Times New Roman"/>
          <w:i/>
          <w:iCs/>
          <w:noProof/>
        </w:rPr>
        <w:t>PLOS ONE</w:t>
      </w:r>
      <w:r w:rsidRPr="00E47744">
        <w:rPr>
          <w:rFonts w:cs="Times New Roman"/>
          <w:noProof/>
        </w:rPr>
        <w:t xml:space="preserve">, </w:t>
      </w:r>
      <w:r w:rsidRPr="00E47744">
        <w:rPr>
          <w:rFonts w:cs="Times New Roman"/>
          <w:i/>
          <w:iCs/>
          <w:noProof/>
        </w:rPr>
        <w:t>15</w:t>
      </w:r>
      <w:r w:rsidRPr="00E47744">
        <w:rPr>
          <w:rFonts w:cs="Times New Roman"/>
          <w:noProof/>
        </w:rPr>
        <w:t>(7), e0236308. https://doi.org/10.1371/journal.pone.0236308</w:t>
      </w:r>
    </w:p>
    <w:p w14:paraId="39D7ADFE"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Chowell, G., Simonsen, L., Viboud, C., &amp; Kuang, Y. (2014). Is West Africa Approaching a Catastrophic Phase or is the 2014 Ebola Epidemic Slowing Down? Different Models Yield Different Answers for Liberia. </w:t>
      </w:r>
      <w:r w:rsidRPr="00E47744">
        <w:rPr>
          <w:rFonts w:cs="Times New Roman"/>
          <w:i/>
          <w:iCs/>
          <w:noProof/>
        </w:rPr>
        <w:t>PLoS Currents</w:t>
      </w:r>
      <w:r w:rsidRPr="00E47744">
        <w:rPr>
          <w:rFonts w:cs="Times New Roman"/>
          <w:noProof/>
        </w:rPr>
        <w:t>. https://doi.org/10.1371/currents.outbreaks.b4690859d91684da963dc40e00f3da81</w:t>
      </w:r>
    </w:p>
    <w:p w14:paraId="223AC92F"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Hilal, D. S. (2020). </w:t>
      </w:r>
      <w:r w:rsidRPr="00E47744">
        <w:rPr>
          <w:rFonts w:cs="Times New Roman"/>
          <w:i/>
          <w:iCs/>
          <w:noProof/>
        </w:rPr>
        <w:t>Conversation with Dr. Sawsan Hilal</w:t>
      </w:r>
      <w:r w:rsidRPr="00E47744">
        <w:rPr>
          <w:rFonts w:cs="Times New Roman"/>
          <w:noProof/>
        </w:rPr>
        <w:t>.</w:t>
      </w:r>
    </w:p>
    <w:p w14:paraId="4444D6BB"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International Monetary Fund. (2020). </w:t>
      </w:r>
      <w:r w:rsidRPr="00E47744">
        <w:rPr>
          <w:rFonts w:cs="Times New Roman"/>
          <w:i/>
          <w:iCs/>
          <w:noProof/>
        </w:rPr>
        <w:t>POLICY RESPONSES TO COVID-19</w:t>
      </w:r>
      <w:r w:rsidRPr="00E47744">
        <w:rPr>
          <w:rFonts w:cs="Times New Roman"/>
          <w:noProof/>
        </w:rPr>
        <w:t>. https://www.imf.org/en/Topics/imf-and-covid19/Policy-</w:t>
      </w:r>
      <w:r w:rsidRPr="00E47744">
        <w:rPr>
          <w:rFonts w:cs="Times New Roman"/>
          <w:noProof/>
        </w:rPr>
        <w:lastRenderedPageBreak/>
        <w:t>Responses-to-COVID-19</w:t>
      </w:r>
    </w:p>
    <w:p w14:paraId="1FEEA8CA"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Louri, N. A., Alkhan, J. A., Isa, H. H., Asad, Y., Alsharooqi, A., Alomari, K. A., Hasan, N. K., Al Khalifa, F. B. K., Ahmed, G. F., Alasmi, M. Y., Al-Khalifa, D. K., &amp; Al Khalifa, K. B. A. (2020). Establishing a 130-Bed Field Intensive Care Unit to Prepare for COVID-19 in 7 Days in Bahrain Military Hospital. </w:t>
      </w:r>
      <w:r w:rsidRPr="00E47744">
        <w:rPr>
          <w:rFonts w:cs="Times New Roman"/>
          <w:i/>
          <w:iCs/>
          <w:noProof/>
        </w:rPr>
        <w:t>Disaster Medicine and Public Health Preparedness</w:t>
      </w:r>
      <w:r w:rsidRPr="00E47744">
        <w:rPr>
          <w:rFonts w:cs="Times New Roman"/>
          <w:noProof/>
        </w:rPr>
        <w:t>, 1–10. https://doi.org/10.1017/dmp.2020.297</w:t>
      </w:r>
    </w:p>
    <w:p w14:paraId="21CE1398"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Ministry of Health. (2020). </w:t>
      </w:r>
      <w:r w:rsidRPr="00E47744">
        <w:rPr>
          <w:rFonts w:cs="Times New Roman"/>
          <w:i/>
          <w:iCs/>
          <w:noProof/>
        </w:rPr>
        <w:t>Coronavirus COVID-19 - Summary of Cases</w:t>
      </w:r>
      <w:r w:rsidRPr="00E47744">
        <w:rPr>
          <w:rFonts w:cs="Times New Roman"/>
          <w:noProof/>
        </w:rPr>
        <w:t>. https://www.moh.gov.bh/?lang=en</w:t>
      </w:r>
    </w:p>
    <w:p w14:paraId="79D26942"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Naar, I. (2020). </w:t>
      </w:r>
      <w:r w:rsidRPr="00E47744">
        <w:rPr>
          <w:rFonts w:cs="Times New Roman"/>
          <w:i/>
          <w:iCs/>
          <w:noProof/>
        </w:rPr>
        <w:t>Coronavirus: Bahrain expands bed capacity at its isolation, quarantine centers</w:t>
      </w:r>
      <w:r w:rsidRPr="00E47744">
        <w:rPr>
          <w:rFonts w:cs="Times New Roman"/>
          <w:noProof/>
        </w:rPr>
        <w:t>. Al Arabiya English. https://english.alarabiya.net/en/coronavirus/2020/05/13/Coronavirus-Bahrain-expands-bed-capacity-at-its-isolation-quarantine-centers</w:t>
      </w:r>
    </w:p>
    <w:p w14:paraId="181D0E47"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Pell, B., Kuang, Y., Viboud, C., &amp; Chowell, G. (2018). Using phenomenological models for forecasting the 2015 Ebola challenge. </w:t>
      </w:r>
      <w:r w:rsidRPr="00E47744">
        <w:rPr>
          <w:rFonts w:cs="Times New Roman"/>
          <w:i/>
          <w:iCs/>
          <w:noProof/>
        </w:rPr>
        <w:t>Epidemics</w:t>
      </w:r>
      <w:r w:rsidRPr="00E47744">
        <w:rPr>
          <w:rFonts w:cs="Times New Roman"/>
          <w:noProof/>
        </w:rPr>
        <w:t xml:space="preserve">, </w:t>
      </w:r>
      <w:r w:rsidRPr="00E47744">
        <w:rPr>
          <w:rFonts w:cs="Times New Roman"/>
          <w:i/>
          <w:iCs/>
          <w:noProof/>
        </w:rPr>
        <w:t>22</w:t>
      </w:r>
      <w:r w:rsidRPr="00E47744">
        <w:rPr>
          <w:rFonts w:cs="Times New Roman"/>
          <w:noProof/>
        </w:rPr>
        <w:t>, 62–70. https://doi.org/10.1016/j.epidem.2016.11.002</w:t>
      </w:r>
    </w:p>
    <w:p w14:paraId="2DB972AA"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Roser, M., Ritchie, H., Ortiz-Ospina, E., &amp; Hasell, J. (2020). </w:t>
      </w:r>
      <w:r w:rsidRPr="00E47744">
        <w:rPr>
          <w:rFonts w:cs="Times New Roman"/>
          <w:i/>
          <w:iCs/>
          <w:noProof/>
        </w:rPr>
        <w:t>Coronavirus Pandemic (COVID-19)</w:t>
      </w:r>
      <w:r w:rsidRPr="00E47744">
        <w:rPr>
          <w:rFonts w:cs="Times New Roman"/>
          <w:noProof/>
        </w:rPr>
        <w:t>. OurWorldInData.Org. https://ourworldindata.org/coronavirus</w:t>
      </w:r>
    </w:p>
    <w:p w14:paraId="3E70B86D"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Shoukat, A., Wells, C. R., Langley, J. M., Singer, B. H., Galvani, A. P., &amp; Moghadas, S. M. (2020). Projecting demand for critical care beds during COVID-19 outbreaks in Canada. </w:t>
      </w:r>
      <w:r w:rsidRPr="00E47744">
        <w:rPr>
          <w:rFonts w:cs="Times New Roman"/>
          <w:i/>
          <w:iCs/>
          <w:noProof/>
        </w:rPr>
        <w:t>Canadian Medical Association Journal</w:t>
      </w:r>
      <w:r w:rsidRPr="00E47744">
        <w:rPr>
          <w:rFonts w:cs="Times New Roman"/>
          <w:noProof/>
        </w:rPr>
        <w:t xml:space="preserve">, </w:t>
      </w:r>
      <w:r w:rsidRPr="00E47744">
        <w:rPr>
          <w:rFonts w:cs="Times New Roman"/>
          <w:i/>
          <w:iCs/>
          <w:noProof/>
        </w:rPr>
        <w:t>192</w:t>
      </w:r>
      <w:r w:rsidRPr="00E47744">
        <w:rPr>
          <w:rFonts w:cs="Times New Roman"/>
          <w:noProof/>
        </w:rPr>
        <w:t>(19), E489–E496. https://doi.org/10.1503/cmaj.200457</w:t>
      </w:r>
    </w:p>
    <w:p w14:paraId="0560112E"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t xml:space="preserve">Verhagen, M., Brazel, D., Dowd, J., Kashnitsky, I., &amp; Mills, M. (2020). </w:t>
      </w:r>
      <w:r w:rsidRPr="00E47744">
        <w:rPr>
          <w:rFonts w:cs="Times New Roman"/>
          <w:i/>
          <w:iCs/>
          <w:noProof/>
        </w:rPr>
        <w:t>Mapping hospital demand: demographics, spatial variation, and the risk of “hospital deserts” during COVID-19 in England and Wales</w:t>
      </w:r>
      <w:r w:rsidRPr="00E47744">
        <w:rPr>
          <w:rFonts w:cs="Times New Roman"/>
          <w:noProof/>
        </w:rPr>
        <w:t>. https://doi.org/10.31219/osf.io/g8s96</w:t>
      </w:r>
    </w:p>
    <w:p w14:paraId="517FD48C" w14:textId="77777777" w:rsidR="00E47744" w:rsidRPr="00E47744" w:rsidRDefault="00E47744" w:rsidP="00E47744">
      <w:pPr>
        <w:widowControl w:val="0"/>
        <w:autoSpaceDE w:val="0"/>
        <w:autoSpaceDN w:val="0"/>
        <w:adjustRightInd w:val="0"/>
        <w:ind w:left="480" w:hanging="480"/>
        <w:rPr>
          <w:rFonts w:cs="Times New Roman"/>
          <w:noProof/>
        </w:rPr>
      </w:pPr>
      <w:r w:rsidRPr="00E47744">
        <w:rPr>
          <w:rFonts w:cs="Times New Roman"/>
          <w:noProof/>
        </w:rPr>
        <w:lastRenderedPageBreak/>
        <w:t xml:space="preserve">Weissman, G. E., Crane-Droesch, A., Chivers, C., Luong, T., Hanish, A., Levy, M. Z., Lubken, J., Becker, M., Draugelis, M. E., Anesi, G. L., Brennan, P. J., Christie, J. D., Hanson, C. W., Mikkelsen, M. E., &amp; Halpern, S. D. (2020). Locally Informed Simulation to Predict Hospital Capacity Needs During the COVID-19 Pandemic. </w:t>
      </w:r>
      <w:r w:rsidRPr="00E47744">
        <w:rPr>
          <w:rFonts w:cs="Times New Roman"/>
          <w:i/>
          <w:iCs/>
          <w:noProof/>
        </w:rPr>
        <w:t>Annals of Internal Medicine</w:t>
      </w:r>
      <w:r w:rsidRPr="00E47744">
        <w:rPr>
          <w:rFonts w:cs="Times New Roman"/>
          <w:noProof/>
        </w:rPr>
        <w:t xml:space="preserve">, </w:t>
      </w:r>
      <w:r w:rsidRPr="00E47744">
        <w:rPr>
          <w:rFonts w:cs="Times New Roman"/>
          <w:i/>
          <w:iCs/>
          <w:noProof/>
        </w:rPr>
        <w:t>173</w:t>
      </w:r>
      <w:r w:rsidRPr="00E47744">
        <w:rPr>
          <w:rFonts w:cs="Times New Roman"/>
          <w:noProof/>
        </w:rPr>
        <w:t>(1), 21–28. https://doi.org/10.7326/M20-1260</w:t>
      </w:r>
    </w:p>
    <w:p w14:paraId="5A5A9B72" w14:textId="77777777" w:rsidR="0035443A" w:rsidRDefault="00CF6DA9" w:rsidP="0012132C">
      <w:pPr>
        <w:jc w:val="both"/>
        <w:sectPr w:rsidR="0035443A" w:rsidSect="00345CF4">
          <w:headerReference w:type="default" r:id="rId37"/>
          <w:pgSz w:w="11906" w:h="16838" w:code="9"/>
          <w:pgMar w:top="1440" w:right="1800" w:bottom="1440" w:left="1800" w:header="706" w:footer="706" w:gutter="0"/>
          <w:cols w:space="708"/>
          <w:docGrid w:linePitch="360"/>
        </w:sectPr>
      </w:pPr>
      <w:r>
        <w:fldChar w:fldCharType="end"/>
      </w:r>
    </w:p>
    <w:p w14:paraId="56AEC913" w14:textId="322D5A88" w:rsidR="00182454" w:rsidRDefault="00182454" w:rsidP="00182454">
      <w:pPr>
        <w:pStyle w:val="UOB-ChapterCover"/>
        <w:jc w:val="left"/>
        <w:outlineLvl w:val="0"/>
      </w:pPr>
      <w:bookmarkStart w:id="112" w:name="_Toc59172933"/>
      <w:r>
        <w:lastRenderedPageBreak/>
        <w:t>Appendices</w:t>
      </w:r>
      <w:bookmarkEnd w:id="112"/>
    </w:p>
    <w:p w14:paraId="67E2EA86" w14:textId="7A41B333" w:rsidR="00B20641" w:rsidRDefault="00344524" w:rsidP="0012132C">
      <w:pPr>
        <w:jc w:val="both"/>
        <w:rPr>
          <w:b/>
          <w:bCs w:val="0"/>
          <w:sz w:val="32"/>
          <w:szCs w:val="28"/>
        </w:rPr>
      </w:pPr>
      <w:r w:rsidRPr="00344524">
        <w:rPr>
          <w:b/>
          <w:bCs w:val="0"/>
          <w:sz w:val="32"/>
          <w:szCs w:val="28"/>
        </w:rPr>
        <w:t>Appendix 1</w:t>
      </w:r>
      <w:r>
        <w:rPr>
          <w:b/>
          <w:bCs w:val="0"/>
          <w:sz w:val="32"/>
          <w:szCs w:val="28"/>
        </w:rPr>
        <w:t xml:space="preserve"> – R Code</w:t>
      </w:r>
    </w:p>
    <w:p w14:paraId="4B306326" w14:textId="40D26223" w:rsidR="001B4446" w:rsidRDefault="00640EF5" w:rsidP="001B4446">
      <w:pPr>
        <w:pStyle w:val="UOB-Body"/>
        <w:ind w:firstLine="720"/>
      </w:pPr>
      <w:r>
        <w:t>The R-code used for this research is publicly available through the following link</w:t>
      </w:r>
      <w:r w:rsidR="001B4446">
        <w:t>:</w:t>
      </w:r>
    </w:p>
    <w:p w14:paraId="620BAE35" w14:textId="47E98C1C" w:rsidR="001B4446" w:rsidRDefault="00332789" w:rsidP="00BA68AB">
      <w:pPr>
        <w:ind w:firstLine="720"/>
        <w:rPr>
          <w:lang w:val="en-US"/>
        </w:rPr>
      </w:pPr>
      <w:hyperlink r:id="rId38" w:history="1">
        <w:r w:rsidR="000C534A" w:rsidRPr="004A4E46">
          <w:rPr>
            <w:rStyle w:val="Hyperlink"/>
            <w:lang w:val="en-US"/>
          </w:rPr>
          <w:t>https://github.com/93ramadan/uob-bdsa601-project</w:t>
        </w:r>
      </w:hyperlink>
    </w:p>
    <w:p w14:paraId="490A4B2C" w14:textId="1CA13574" w:rsidR="001B4446" w:rsidRDefault="00CD529F" w:rsidP="000463FC">
      <w:pPr>
        <w:ind w:firstLine="720"/>
        <w:rPr>
          <w:lang w:val="en-US"/>
        </w:rPr>
      </w:pPr>
      <w:r>
        <w:rPr>
          <w:lang w:val="en-US"/>
        </w:rPr>
        <w:t xml:space="preserve">To execute the code, simply execute code in the </w:t>
      </w:r>
      <w:r w:rsidR="000C534A">
        <w:rPr>
          <w:lang w:val="en-US"/>
        </w:rPr>
        <w:t>“</w:t>
      </w:r>
      <w:r>
        <w:rPr>
          <w:lang w:val="en-US"/>
        </w:rPr>
        <w:t>main.R</w:t>
      </w:r>
      <w:r w:rsidR="000C534A">
        <w:rPr>
          <w:lang w:val="en-US"/>
        </w:rPr>
        <w:t>”</w:t>
      </w:r>
      <w:r>
        <w:rPr>
          <w:lang w:val="en-US"/>
        </w:rPr>
        <w:t xml:space="preserve"> file which will source and execute all the sub-components required. The code is written in pieces to make the code readable and re-usable and maintainable.</w:t>
      </w:r>
    </w:p>
    <w:p w14:paraId="6C203B68" w14:textId="77E3229A" w:rsidR="00A155CE" w:rsidRDefault="007C13B4" w:rsidP="005B0E55">
      <w:pPr>
        <w:jc w:val="both"/>
        <w:rPr>
          <w:b/>
          <w:bCs w:val="0"/>
          <w:sz w:val="32"/>
          <w:szCs w:val="28"/>
        </w:rPr>
      </w:pPr>
      <w:r>
        <w:rPr>
          <w:b/>
          <w:bCs w:val="0"/>
          <w:sz w:val="32"/>
          <w:szCs w:val="28"/>
        </w:rPr>
        <w:t xml:space="preserve">Appendix 2 – Extraction of </w:t>
      </w:r>
      <w:r w:rsidR="00A155CE">
        <w:rPr>
          <w:b/>
          <w:bCs w:val="0"/>
          <w:sz w:val="32"/>
          <w:szCs w:val="28"/>
        </w:rPr>
        <w:t>Variables</w:t>
      </w:r>
    </w:p>
    <w:p w14:paraId="68AA50A5" w14:textId="0FE1CEF4" w:rsidR="007C13B4" w:rsidRPr="00A155CE" w:rsidRDefault="00A155CE" w:rsidP="005B0E55">
      <w:pPr>
        <w:jc w:val="both"/>
      </w:pPr>
      <w:r>
        <w:t>Extraction of the c</w:t>
      </w:r>
      <w:r w:rsidR="007C13B4" w:rsidRPr="00A155CE">
        <w:t xml:space="preserve">urrent </w:t>
      </w:r>
      <w:r>
        <w:t>a</w:t>
      </w:r>
      <w:r w:rsidR="007C13B4" w:rsidRPr="00A155CE">
        <w:t xml:space="preserve">ctive </w:t>
      </w:r>
      <w:r>
        <w:t>c</w:t>
      </w:r>
      <w:r w:rsidR="007C13B4" w:rsidRPr="00A155CE">
        <w:t xml:space="preserve">ases and </w:t>
      </w:r>
      <w:r>
        <w:t>h</w:t>
      </w:r>
      <w:r w:rsidR="007C13B4" w:rsidRPr="00A155CE">
        <w:t xml:space="preserve">ospitalized </w:t>
      </w:r>
      <w:r>
        <w:t>c</w:t>
      </w:r>
      <w:r w:rsidR="007C13B4" w:rsidRPr="00A155CE">
        <w:t>ases from Ministry of Health</w:t>
      </w:r>
      <w:r>
        <w:t>:</w:t>
      </w:r>
    </w:p>
    <w:p w14:paraId="2A5BCEFD" w14:textId="77777777" w:rsidR="00A155CE" w:rsidRDefault="007C13B4" w:rsidP="00A155CE">
      <w:pPr>
        <w:pStyle w:val="UOB-Body"/>
        <w:jc w:val="center"/>
      </w:pPr>
      <w:r>
        <w:rPr>
          <w:noProof/>
        </w:rPr>
        <w:drawing>
          <wp:inline distT="0" distB="0" distL="0" distR="0" wp14:anchorId="544D2E52" wp14:editId="2FF6D6DB">
            <wp:extent cx="5274310" cy="2712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712720"/>
                    </a:xfrm>
                    <a:prstGeom prst="rect">
                      <a:avLst/>
                    </a:prstGeom>
                  </pic:spPr>
                </pic:pic>
              </a:graphicData>
            </a:graphic>
          </wp:inline>
        </w:drawing>
      </w:r>
    </w:p>
    <w:p w14:paraId="3CB21AB9" w14:textId="77777777" w:rsidR="00A155CE" w:rsidRDefault="00A155CE" w:rsidP="007C13B4">
      <w:pPr>
        <w:pStyle w:val="UOB-Body"/>
      </w:pPr>
    </w:p>
    <w:p w14:paraId="3538EBAC" w14:textId="77777777" w:rsidR="00A155CE" w:rsidRDefault="00A155CE" w:rsidP="007C13B4">
      <w:pPr>
        <w:pStyle w:val="UOB-Body"/>
      </w:pPr>
      <w:r>
        <w:t>Extraction of the total beds in isolation and quarantine centers, and the number of occupied beds in each:</w:t>
      </w:r>
    </w:p>
    <w:p w14:paraId="7A7CA9C3" w14:textId="770357A0" w:rsidR="007C13B4" w:rsidRDefault="00A155CE" w:rsidP="00A155CE">
      <w:pPr>
        <w:pStyle w:val="UOB-Body"/>
        <w:jc w:val="center"/>
      </w:pPr>
      <w:r>
        <w:rPr>
          <w:noProof/>
        </w:rPr>
        <w:lastRenderedPageBreak/>
        <w:drawing>
          <wp:inline distT="0" distB="0" distL="0" distR="0" wp14:anchorId="1D7AC9C8" wp14:editId="3F5D3D3E">
            <wp:extent cx="5274310" cy="2008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008505"/>
                    </a:xfrm>
                    <a:prstGeom prst="rect">
                      <a:avLst/>
                    </a:prstGeom>
                  </pic:spPr>
                </pic:pic>
              </a:graphicData>
            </a:graphic>
          </wp:inline>
        </w:drawing>
      </w:r>
    </w:p>
    <w:p w14:paraId="1980FFD5" w14:textId="7B1F4A91" w:rsidR="005B0E55" w:rsidRDefault="005B0E55" w:rsidP="005B0E55">
      <w:pPr>
        <w:jc w:val="both"/>
        <w:rPr>
          <w:b/>
          <w:bCs w:val="0"/>
          <w:sz w:val="32"/>
          <w:szCs w:val="28"/>
        </w:rPr>
      </w:pPr>
      <w:r w:rsidRPr="00344524">
        <w:rPr>
          <w:b/>
          <w:bCs w:val="0"/>
          <w:sz w:val="32"/>
          <w:szCs w:val="28"/>
        </w:rPr>
        <w:t xml:space="preserve">Appendix </w:t>
      </w:r>
      <w:r w:rsidR="007C13B4">
        <w:rPr>
          <w:b/>
          <w:bCs w:val="0"/>
          <w:sz w:val="32"/>
          <w:szCs w:val="28"/>
        </w:rPr>
        <w:t>3</w:t>
      </w:r>
      <w:r>
        <w:rPr>
          <w:b/>
          <w:bCs w:val="0"/>
          <w:sz w:val="32"/>
          <w:szCs w:val="28"/>
        </w:rPr>
        <w:t xml:space="preserve"> – Additional Results Plots</w:t>
      </w:r>
    </w:p>
    <w:p w14:paraId="2B73EE12" w14:textId="39F4D922" w:rsidR="005B0E55" w:rsidRDefault="00AD365E" w:rsidP="00A155CE">
      <w:pPr>
        <w:jc w:val="center"/>
        <w:rPr>
          <w:lang w:val="en-US"/>
        </w:rPr>
      </w:pPr>
      <w:r>
        <w:rPr>
          <w:noProof/>
        </w:rPr>
        <w:drawing>
          <wp:inline distT="0" distB="0" distL="0" distR="0" wp14:anchorId="013AC074" wp14:editId="7429CB01">
            <wp:extent cx="5076190" cy="296997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1922" r="3739" b="3148"/>
                    <a:stretch/>
                  </pic:blipFill>
                  <pic:spPr bwMode="auto">
                    <a:xfrm>
                      <a:off x="0" y="0"/>
                      <a:ext cx="5077125" cy="2970518"/>
                    </a:xfrm>
                    <a:prstGeom prst="rect">
                      <a:avLst/>
                    </a:prstGeom>
                    <a:ln>
                      <a:noFill/>
                    </a:ln>
                    <a:extLst>
                      <a:ext uri="{53640926-AAD7-44D8-BBD7-CCE9431645EC}">
                        <a14:shadowObscured xmlns:a14="http://schemas.microsoft.com/office/drawing/2010/main"/>
                      </a:ext>
                    </a:extLst>
                  </pic:spPr>
                </pic:pic>
              </a:graphicData>
            </a:graphic>
          </wp:inline>
        </w:drawing>
      </w:r>
    </w:p>
    <w:p w14:paraId="5F640AA0" w14:textId="77777777" w:rsidR="005B0E55" w:rsidRPr="001B4446" w:rsidRDefault="005B0E55" w:rsidP="005B0E55">
      <w:pPr>
        <w:rPr>
          <w:lang w:val="en-US"/>
        </w:rPr>
      </w:pPr>
    </w:p>
    <w:sectPr w:rsidR="005B0E55" w:rsidRPr="001B4446" w:rsidSect="00345CF4">
      <w:footerReference w:type="default" r:id="rId4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CCD11" w14:textId="77777777" w:rsidR="00332789" w:rsidRDefault="00332789" w:rsidP="00703385">
      <w:pPr>
        <w:spacing w:line="240" w:lineRule="auto"/>
      </w:pPr>
      <w:r>
        <w:separator/>
      </w:r>
    </w:p>
  </w:endnote>
  <w:endnote w:type="continuationSeparator" w:id="0">
    <w:p w14:paraId="6C38754F" w14:textId="77777777" w:rsidR="00332789" w:rsidRDefault="00332789"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9E3CAA" w:rsidRDefault="009E3CAA">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9E3CAA" w:rsidRDefault="009E3CA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B609E" w14:textId="460E2E38" w:rsidR="009E3CAA" w:rsidRDefault="009E3CAA">
    <w:pPr>
      <w:pStyle w:val="Footer"/>
      <w:jc w:val="center"/>
    </w:pPr>
  </w:p>
  <w:p w14:paraId="599671BA" w14:textId="77777777" w:rsidR="009E3CAA" w:rsidRDefault="009E3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9E3CAA" w:rsidRPr="00874782" w:rsidRDefault="009E3CAA"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9E3CAA" w:rsidRDefault="009E3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9E3CAA" w:rsidRDefault="009E3C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9E3CAA" w:rsidRDefault="009E3CAA">
    <w:pPr>
      <w:pStyle w:val="Footer"/>
      <w:jc w:val="center"/>
    </w:pPr>
  </w:p>
  <w:p w14:paraId="712CE781" w14:textId="77777777" w:rsidR="009E3CAA" w:rsidRDefault="009E3C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9E3CAA" w:rsidRDefault="009E3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9E3CAA" w:rsidRDefault="009E3CA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9E3CAA" w:rsidRDefault="009E3CAA">
    <w:pPr>
      <w:pStyle w:val="Footer"/>
      <w:jc w:val="center"/>
    </w:pPr>
  </w:p>
  <w:p w14:paraId="11DBC7F7" w14:textId="77777777" w:rsidR="009E3CAA" w:rsidRDefault="009E3CA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9E3CAA" w:rsidRDefault="009E3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9E3CAA" w:rsidRDefault="009E3CA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9E3CAA" w:rsidRDefault="009E3CAA">
    <w:pPr>
      <w:pStyle w:val="Footer"/>
      <w:jc w:val="center"/>
    </w:pPr>
  </w:p>
  <w:p w14:paraId="6D56B8DC" w14:textId="77777777" w:rsidR="009E3CAA" w:rsidRDefault="009E3CA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9E3CAA" w:rsidRDefault="009E3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9E3CAA" w:rsidRDefault="009E3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03958" w14:textId="77777777" w:rsidR="00332789" w:rsidRDefault="00332789" w:rsidP="00703385">
      <w:pPr>
        <w:spacing w:line="240" w:lineRule="auto"/>
      </w:pPr>
      <w:r>
        <w:separator/>
      </w:r>
    </w:p>
  </w:footnote>
  <w:footnote w:type="continuationSeparator" w:id="0">
    <w:p w14:paraId="3D9FBACE" w14:textId="77777777" w:rsidR="00332789" w:rsidRDefault="00332789"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9E3CAA" w:rsidRDefault="009E3CA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9E3CAA" w:rsidRDefault="009E3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9E3CAA" w:rsidRDefault="009E3C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9E3CAA" w:rsidRDefault="009E3C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9E3CAA" w:rsidRDefault="009E3C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9E3CAA" w:rsidRDefault="009E3CA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9E3CAA" w:rsidRDefault="009E3CA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9E3CAA" w:rsidRDefault="009E3CA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9E3CAA" w:rsidRDefault="009E3CA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9E3CAA" w:rsidRDefault="009E3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2CF13E7"/>
    <w:multiLevelType w:val="hybridMultilevel"/>
    <w:tmpl w:val="546C31FC"/>
    <w:lvl w:ilvl="0" w:tplc="E3E42010">
      <w:numFmt w:val="bullet"/>
      <w:lvlText w:val="-"/>
      <w:lvlJc w:val="left"/>
      <w:pPr>
        <w:ind w:left="936" w:hanging="360"/>
      </w:pPr>
      <w:rPr>
        <w:rFonts w:ascii="Times New Roman" w:eastAsia="Times New Roman" w:hAnsi="Times New Roman"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4"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6" w15:restartNumberingAfterBreak="0">
    <w:nsid w:val="61874CD5"/>
    <w:multiLevelType w:val="hybridMultilevel"/>
    <w:tmpl w:val="87C62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9"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9"/>
  </w:num>
  <w:num w:numId="2">
    <w:abstractNumId w:val="1"/>
  </w:num>
  <w:num w:numId="3">
    <w:abstractNumId w:val="7"/>
  </w:num>
  <w:num w:numId="4">
    <w:abstractNumId w:val="4"/>
  </w:num>
  <w:num w:numId="5">
    <w:abstractNumId w:val="8"/>
  </w:num>
  <w:num w:numId="6">
    <w:abstractNumId w:val="9"/>
  </w:num>
  <w:num w:numId="7">
    <w:abstractNumId w:val="0"/>
  </w:num>
  <w:num w:numId="8">
    <w:abstractNumId w:val="5"/>
  </w:num>
  <w:num w:numId="9">
    <w:abstractNumId w:val="2"/>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0927"/>
    <w:rsid w:val="0001272A"/>
    <w:rsid w:val="00013ED9"/>
    <w:rsid w:val="00014947"/>
    <w:rsid w:val="00015DEA"/>
    <w:rsid w:val="000178E9"/>
    <w:rsid w:val="0002151F"/>
    <w:rsid w:val="00022223"/>
    <w:rsid w:val="00026EEC"/>
    <w:rsid w:val="000278FF"/>
    <w:rsid w:val="00027D8D"/>
    <w:rsid w:val="000326E0"/>
    <w:rsid w:val="000346F9"/>
    <w:rsid w:val="000352F2"/>
    <w:rsid w:val="000365A3"/>
    <w:rsid w:val="00037BD7"/>
    <w:rsid w:val="00040E14"/>
    <w:rsid w:val="000431A7"/>
    <w:rsid w:val="00043F21"/>
    <w:rsid w:val="0004429F"/>
    <w:rsid w:val="00044A84"/>
    <w:rsid w:val="000458CC"/>
    <w:rsid w:val="000463FC"/>
    <w:rsid w:val="00046C10"/>
    <w:rsid w:val="000471B3"/>
    <w:rsid w:val="00051C1B"/>
    <w:rsid w:val="00052BC9"/>
    <w:rsid w:val="000550D3"/>
    <w:rsid w:val="000560C3"/>
    <w:rsid w:val="00056925"/>
    <w:rsid w:val="00056BE0"/>
    <w:rsid w:val="000576DB"/>
    <w:rsid w:val="000603F6"/>
    <w:rsid w:val="00061AC2"/>
    <w:rsid w:val="00063B34"/>
    <w:rsid w:val="0006426F"/>
    <w:rsid w:val="000644AD"/>
    <w:rsid w:val="00064CFD"/>
    <w:rsid w:val="00067967"/>
    <w:rsid w:val="0007250B"/>
    <w:rsid w:val="00072BC2"/>
    <w:rsid w:val="00072F64"/>
    <w:rsid w:val="00083802"/>
    <w:rsid w:val="00083FFA"/>
    <w:rsid w:val="00086D3F"/>
    <w:rsid w:val="000875CF"/>
    <w:rsid w:val="0008775C"/>
    <w:rsid w:val="00087C22"/>
    <w:rsid w:val="00096110"/>
    <w:rsid w:val="000963C1"/>
    <w:rsid w:val="000A3EBF"/>
    <w:rsid w:val="000A55B0"/>
    <w:rsid w:val="000A5D0F"/>
    <w:rsid w:val="000A6BCF"/>
    <w:rsid w:val="000A6E47"/>
    <w:rsid w:val="000A7A10"/>
    <w:rsid w:val="000B17EA"/>
    <w:rsid w:val="000B2087"/>
    <w:rsid w:val="000B2BBB"/>
    <w:rsid w:val="000B5000"/>
    <w:rsid w:val="000B5E6E"/>
    <w:rsid w:val="000B719B"/>
    <w:rsid w:val="000B7CBF"/>
    <w:rsid w:val="000C175D"/>
    <w:rsid w:val="000C3081"/>
    <w:rsid w:val="000C36E2"/>
    <w:rsid w:val="000C46D1"/>
    <w:rsid w:val="000C534A"/>
    <w:rsid w:val="000C632A"/>
    <w:rsid w:val="000C7805"/>
    <w:rsid w:val="000D08A8"/>
    <w:rsid w:val="000D10FB"/>
    <w:rsid w:val="000D275B"/>
    <w:rsid w:val="000D59F8"/>
    <w:rsid w:val="000E2477"/>
    <w:rsid w:val="000E2A93"/>
    <w:rsid w:val="000E3104"/>
    <w:rsid w:val="000E39C2"/>
    <w:rsid w:val="000E43BB"/>
    <w:rsid w:val="000E5971"/>
    <w:rsid w:val="000E5ADE"/>
    <w:rsid w:val="000F102F"/>
    <w:rsid w:val="000F34A1"/>
    <w:rsid w:val="000F5246"/>
    <w:rsid w:val="000F76BC"/>
    <w:rsid w:val="000F7D58"/>
    <w:rsid w:val="00102382"/>
    <w:rsid w:val="0010259A"/>
    <w:rsid w:val="00102823"/>
    <w:rsid w:val="001045A2"/>
    <w:rsid w:val="00104B04"/>
    <w:rsid w:val="001067E6"/>
    <w:rsid w:val="00110915"/>
    <w:rsid w:val="001122AB"/>
    <w:rsid w:val="00112826"/>
    <w:rsid w:val="00113BB9"/>
    <w:rsid w:val="00114916"/>
    <w:rsid w:val="001203C5"/>
    <w:rsid w:val="0012100D"/>
    <w:rsid w:val="0012132C"/>
    <w:rsid w:val="0012769B"/>
    <w:rsid w:val="001317E1"/>
    <w:rsid w:val="00132547"/>
    <w:rsid w:val="00132694"/>
    <w:rsid w:val="00133601"/>
    <w:rsid w:val="00133E6C"/>
    <w:rsid w:val="0013673E"/>
    <w:rsid w:val="00141CD9"/>
    <w:rsid w:val="00143B4B"/>
    <w:rsid w:val="00145C99"/>
    <w:rsid w:val="00146344"/>
    <w:rsid w:val="001475B4"/>
    <w:rsid w:val="00147C64"/>
    <w:rsid w:val="00150895"/>
    <w:rsid w:val="001512D8"/>
    <w:rsid w:val="001529B7"/>
    <w:rsid w:val="00156660"/>
    <w:rsid w:val="00161AB9"/>
    <w:rsid w:val="00170D5E"/>
    <w:rsid w:val="00172E2D"/>
    <w:rsid w:val="00172F0F"/>
    <w:rsid w:val="00176DCA"/>
    <w:rsid w:val="00177E9D"/>
    <w:rsid w:val="00180004"/>
    <w:rsid w:val="0018179B"/>
    <w:rsid w:val="00182454"/>
    <w:rsid w:val="00182FFA"/>
    <w:rsid w:val="001845DB"/>
    <w:rsid w:val="00190FF0"/>
    <w:rsid w:val="001939FD"/>
    <w:rsid w:val="00194A73"/>
    <w:rsid w:val="001963C1"/>
    <w:rsid w:val="001A0276"/>
    <w:rsid w:val="001A2BFB"/>
    <w:rsid w:val="001A36A7"/>
    <w:rsid w:val="001B2D30"/>
    <w:rsid w:val="001B4446"/>
    <w:rsid w:val="001B48DE"/>
    <w:rsid w:val="001B57EA"/>
    <w:rsid w:val="001B6227"/>
    <w:rsid w:val="001B658D"/>
    <w:rsid w:val="001B65C7"/>
    <w:rsid w:val="001B681C"/>
    <w:rsid w:val="001B7487"/>
    <w:rsid w:val="001C345D"/>
    <w:rsid w:val="001C5D47"/>
    <w:rsid w:val="001D033E"/>
    <w:rsid w:val="001D0FAF"/>
    <w:rsid w:val="001D1723"/>
    <w:rsid w:val="001D1B72"/>
    <w:rsid w:val="001D313B"/>
    <w:rsid w:val="001D313D"/>
    <w:rsid w:val="001D45F2"/>
    <w:rsid w:val="001D6CEF"/>
    <w:rsid w:val="001E4B72"/>
    <w:rsid w:val="001E650A"/>
    <w:rsid w:val="001F0875"/>
    <w:rsid w:val="001F0A12"/>
    <w:rsid w:val="001F1768"/>
    <w:rsid w:val="001F28B5"/>
    <w:rsid w:val="001F355E"/>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3D37"/>
    <w:rsid w:val="00237778"/>
    <w:rsid w:val="0024020E"/>
    <w:rsid w:val="002410F1"/>
    <w:rsid w:val="002416D1"/>
    <w:rsid w:val="00241E61"/>
    <w:rsid w:val="00242566"/>
    <w:rsid w:val="0024278E"/>
    <w:rsid w:val="002544AE"/>
    <w:rsid w:val="00264814"/>
    <w:rsid w:val="00264C36"/>
    <w:rsid w:val="00264D36"/>
    <w:rsid w:val="00267868"/>
    <w:rsid w:val="002705CE"/>
    <w:rsid w:val="00272C26"/>
    <w:rsid w:val="00273AD1"/>
    <w:rsid w:val="00280533"/>
    <w:rsid w:val="00280E2A"/>
    <w:rsid w:val="00281191"/>
    <w:rsid w:val="00281E1B"/>
    <w:rsid w:val="00282E24"/>
    <w:rsid w:val="00285D30"/>
    <w:rsid w:val="00286CAD"/>
    <w:rsid w:val="00290D74"/>
    <w:rsid w:val="00292A64"/>
    <w:rsid w:val="00292FE5"/>
    <w:rsid w:val="0029784F"/>
    <w:rsid w:val="002A44DF"/>
    <w:rsid w:val="002A6E3F"/>
    <w:rsid w:val="002B0217"/>
    <w:rsid w:val="002B176B"/>
    <w:rsid w:val="002B1CC0"/>
    <w:rsid w:val="002B1CC4"/>
    <w:rsid w:val="002B3D2B"/>
    <w:rsid w:val="002B4338"/>
    <w:rsid w:val="002B48A7"/>
    <w:rsid w:val="002B48FC"/>
    <w:rsid w:val="002B4945"/>
    <w:rsid w:val="002C3958"/>
    <w:rsid w:val="002C3C9A"/>
    <w:rsid w:val="002C3F9F"/>
    <w:rsid w:val="002C4412"/>
    <w:rsid w:val="002C525E"/>
    <w:rsid w:val="002C5BAF"/>
    <w:rsid w:val="002D01B7"/>
    <w:rsid w:val="002D073B"/>
    <w:rsid w:val="002D17F7"/>
    <w:rsid w:val="002D3D1A"/>
    <w:rsid w:val="002D7146"/>
    <w:rsid w:val="002E07C7"/>
    <w:rsid w:val="002E33B2"/>
    <w:rsid w:val="002E4576"/>
    <w:rsid w:val="002E5683"/>
    <w:rsid w:val="002E5E4C"/>
    <w:rsid w:val="002E6202"/>
    <w:rsid w:val="002F0715"/>
    <w:rsid w:val="002F73A2"/>
    <w:rsid w:val="002F7A64"/>
    <w:rsid w:val="0030020C"/>
    <w:rsid w:val="00300BDD"/>
    <w:rsid w:val="00303E05"/>
    <w:rsid w:val="00305747"/>
    <w:rsid w:val="00317E15"/>
    <w:rsid w:val="00320CFD"/>
    <w:rsid w:val="00321650"/>
    <w:rsid w:val="003218F4"/>
    <w:rsid w:val="00321B46"/>
    <w:rsid w:val="00321C95"/>
    <w:rsid w:val="00323012"/>
    <w:rsid w:val="00327101"/>
    <w:rsid w:val="00330396"/>
    <w:rsid w:val="00330875"/>
    <w:rsid w:val="00330E44"/>
    <w:rsid w:val="003313EF"/>
    <w:rsid w:val="00332513"/>
    <w:rsid w:val="00332789"/>
    <w:rsid w:val="00333A4F"/>
    <w:rsid w:val="00342EE7"/>
    <w:rsid w:val="00344524"/>
    <w:rsid w:val="00344D28"/>
    <w:rsid w:val="00345CF4"/>
    <w:rsid w:val="00351C9D"/>
    <w:rsid w:val="00352B43"/>
    <w:rsid w:val="0035443A"/>
    <w:rsid w:val="00357098"/>
    <w:rsid w:val="003574EA"/>
    <w:rsid w:val="003617E3"/>
    <w:rsid w:val="00361D8C"/>
    <w:rsid w:val="003643CD"/>
    <w:rsid w:val="003644FF"/>
    <w:rsid w:val="00365A17"/>
    <w:rsid w:val="0036649E"/>
    <w:rsid w:val="0036799B"/>
    <w:rsid w:val="00372678"/>
    <w:rsid w:val="00372D78"/>
    <w:rsid w:val="00380FF3"/>
    <w:rsid w:val="0038115F"/>
    <w:rsid w:val="00381CD8"/>
    <w:rsid w:val="00383233"/>
    <w:rsid w:val="00390254"/>
    <w:rsid w:val="00392E6B"/>
    <w:rsid w:val="00392E73"/>
    <w:rsid w:val="003A0F7B"/>
    <w:rsid w:val="003A2442"/>
    <w:rsid w:val="003A2654"/>
    <w:rsid w:val="003A26F4"/>
    <w:rsid w:val="003A2E80"/>
    <w:rsid w:val="003A5D7B"/>
    <w:rsid w:val="003B0E04"/>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E6BE4"/>
    <w:rsid w:val="003F00F5"/>
    <w:rsid w:val="003F0B88"/>
    <w:rsid w:val="003F151F"/>
    <w:rsid w:val="003F16A0"/>
    <w:rsid w:val="003F26B1"/>
    <w:rsid w:val="003F525C"/>
    <w:rsid w:val="0040071B"/>
    <w:rsid w:val="0040468A"/>
    <w:rsid w:val="004074C4"/>
    <w:rsid w:val="00411A06"/>
    <w:rsid w:val="00414760"/>
    <w:rsid w:val="004160AE"/>
    <w:rsid w:val="004163F2"/>
    <w:rsid w:val="00420C0C"/>
    <w:rsid w:val="004238A1"/>
    <w:rsid w:val="00423CE6"/>
    <w:rsid w:val="00424C89"/>
    <w:rsid w:val="0043056D"/>
    <w:rsid w:val="004326A6"/>
    <w:rsid w:val="004327A3"/>
    <w:rsid w:val="00432F0C"/>
    <w:rsid w:val="00434880"/>
    <w:rsid w:val="00435E82"/>
    <w:rsid w:val="0044346D"/>
    <w:rsid w:val="00444BBC"/>
    <w:rsid w:val="0045085A"/>
    <w:rsid w:val="00450D2B"/>
    <w:rsid w:val="00451C66"/>
    <w:rsid w:val="0045318C"/>
    <w:rsid w:val="0045386F"/>
    <w:rsid w:val="00454286"/>
    <w:rsid w:val="0045473F"/>
    <w:rsid w:val="00457EA0"/>
    <w:rsid w:val="00460034"/>
    <w:rsid w:val="00460A22"/>
    <w:rsid w:val="00460DAA"/>
    <w:rsid w:val="00460E47"/>
    <w:rsid w:val="00461976"/>
    <w:rsid w:val="004639C8"/>
    <w:rsid w:val="00465632"/>
    <w:rsid w:val="004656FF"/>
    <w:rsid w:val="00467C8E"/>
    <w:rsid w:val="00473345"/>
    <w:rsid w:val="00473E51"/>
    <w:rsid w:val="0047710C"/>
    <w:rsid w:val="00481164"/>
    <w:rsid w:val="00482A74"/>
    <w:rsid w:val="004840BE"/>
    <w:rsid w:val="0048554C"/>
    <w:rsid w:val="0048662B"/>
    <w:rsid w:val="00486C3A"/>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17FE"/>
    <w:rsid w:val="004E2257"/>
    <w:rsid w:val="004E4C50"/>
    <w:rsid w:val="004E4F62"/>
    <w:rsid w:val="004F044B"/>
    <w:rsid w:val="004F1436"/>
    <w:rsid w:val="004F2521"/>
    <w:rsid w:val="004F3B17"/>
    <w:rsid w:val="004F7E0F"/>
    <w:rsid w:val="0050164A"/>
    <w:rsid w:val="00502DAA"/>
    <w:rsid w:val="00502DCE"/>
    <w:rsid w:val="00503BF3"/>
    <w:rsid w:val="005048C2"/>
    <w:rsid w:val="00510027"/>
    <w:rsid w:val="005149CF"/>
    <w:rsid w:val="00514E31"/>
    <w:rsid w:val="00515A57"/>
    <w:rsid w:val="0051757F"/>
    <w:rsid w:val="00520929"/>
    <w:rsid w:val="005235EE"/>
    <w:rsid w:val="005242EC"/>
    <w:rsid w:val="00524C5E"/>
    <w:rsid w:val="0052649C"/>
    <w:rsid w:val="00530D0A"/>
    <w:rsid w:val="00532728"/>
    <w:rsid w:val="00532F31"/>
    <w:rsid w:val="005335F4"/>
    <w:rsid w:val="00541152"/>
    <w:rsid w:val="00542476"/>
    <w:rsid w:val="0054335E"/>
    <w:rsid w:val="00551376"/>
    <w:rsid w:val="005536B5"/>
    <w:rsid w:val="00556A4E"/>
    <w:rsid w:val="00560263"/>
    <w:rsid w:val="00560357"/>
    <w:rsid w:val="00560BCE"/>
    <w:rsid w:val="00561051"/>
    <w:rsid w:val="00561173"/>
    <w:rsid w:val="00561838"/>
    <w:rsid w:val="00561B3D"/>
    <w:rsid w:val="00562D8E"/>
    <w:rsid w:val="005643CC"/>
    <w:rsid w:val="00565AC6"/>
    <w:rsid w:val="00565EBE"/>
    <w:rsid w:val="00566423"/>
    <w:rsid w:val="00566AA3"/>
    <w:rsid w:val="00571058"/>
    <w:rsid w:val="005718EB"/>
    <w:rsid w:val="00572589"/>
    <w:rsid w:val="00572ECC"/>
    <w:rsid w:val="005825D8"/>
    <w:rsid w:val="005846AF"/>
    <w:rsid w:val="005850F0"/>
    <w:rsid w:val="00586E02"/>
    <w:rsid w:val="00587838"/>
    <w:rsid w:val="005902AE"/>
    <w:rsid w:val="00591AA1"/>
    <w:rsid w:val="00591D1A"/>
    <w:rsid w:val="00592879"/>
    <w:rsid w:val="0059368F"/>
    <w:rsid w:val="00593EFD"/>
    <w:rsid w:val="00594D91"/>
    <w:rsid w:val="0059582A"/>
    <w:rsid w:val="00596439"/>
    <w:rsid w:val="005A3CD3"/>
    <w:rsid w:val="005A4B8F"/>
    <w:rsid w:val="005A63F0"/>
    <w:rsid w:val="005A6881"/>
    <w:rsid w:val="005A7767"/>
    <w:rsid w:val="005B0AC0"/>
    <w:rsid w:val="005B0E55"/>
    <w:rsid w:val="005B1E81"/>
    <w:rsid w:val="005B3978"/>
    <w:rsid w:val="005B4523"/>
    <w:rsid w:val="005B5BC7"/>
    <w:rsid w:val="005B700F"/>
    <w:rsid w:val="005B7B7E"/>
    <w:rsid w:val="005C4BB1"/>
    <w:rsid w:val="005C62E6"/>
    <w:rsid w:val="005C6D9E"/>
    <w:rsid w:val="005C74F1"/>
    <w:rsid w:val="005D2083"/>
    <w:rsid w:val="005D6761"/>
    <w:rsid w:val="005E402C"/>
    <w:rsid w:val="005E52CF"/>
    <w:rsid w:val="005E7A22"/>
    <w:rsid w:val="005E7C45"/>
    <w:rsid w:val="005F0D76"/>
    <w:rsid w:val="005F1097"/>
    <w:rsid w:val="005F1232"/>
    <w:rsid w:val="005F4245"/>
    <w:rsid w:val="005F46B4"/>
    <w:rsid w:val="005F4F34"/>
    <w:rsid w:val="00604065"/>
    <w:rsid w:val="00606514"/>
    <w:rsid w:val="006126CC"/>
    <w:rsid w:val="0061478E"/>
    <w:rsid w:val="0061503C"/>
    <w:rsid w:val="0061636B"/>
    <w:rsid w:val="00616F03"/>
    <w:rsid w:val="00623BDB"/>
    <w:rsid w:val="00623EE9"/>
    <w:rsid w:val="00625480"/>
    <w:rsid w:val="00625C58"/>
    <w:rsid w:val="00625D5C"/>
    <w:rsid w:val="00626AC6"/>
    <w:rsid w:val="006271D0"/>
    <w:rsid w:val="0063128F"/>
    <w:rsid w:val="006323DE"/>
    <w:rsid w:val="006338BC"/>
    <w:rsid w:val="0063410A"/>
    <w:rsid w:val="00634499"/>
    <w:rsid w:val="00640EF5"/>
    <w:rsid w:val="00641619"/>
    <w:rsid w:val="00644071"/>
    <w:rsid w:val="006458EA"/>
    <w:rsid w:val="00647DB8"/>
    <w:rsid w:val="00652B0C"/>
    <w:rsid w:val="00654733"/>
    <w:rsid w:val="00654ACA"/>
    <w:rsid w:val="00654B7A"/>
    <w:rsid w:val="0065590F"/>
    <w:rsid w:val="006575ED"/>
    <w:rsid w:val="00657616"/>
    <w:rsid w:val="00662486"/>
    <w:rsid w:val="00663D15"/>
    <w:rsid w:val="00664D2D"/>
    <w:rsid w:val="00671ECA"/>
    <w:rsid w:val="00672DB8"/>
    <w:rsid w:val="00673372"/>
    <w:rsid w:val="006744F8"/>
    <w:rsid w:val="00675E4C"/>
    <w:rsid w:val="00675F01"/>
    <w:rsid w:val="00676FFA"/>
    <w:rsid w:val="0068014A"/>
    <w:rsid w:val="00681656"/>
    <w:rsid w:val="006842D5"/>
    <w:rsid w:val="006846BD"/>
    <w:rsid w:val="0068508D"/>
    <w:rsid w:val="006860D6"/>
    <w:rsid w:val="00691857"/>
    <w:rsid w:val="006940B5"/>
    <w:rsid w:val="00697426"/>
    <w:rsid w:val="00697CD3"/>
    <w:rsid w:val="006A05D7"/>
    <w:rsid w:val="006A201B"/>
    <w:rsid w:val="006A30C2"/>
    <w:rsid w:val="006A3D49"/>
    <w:rsid w:val="006A523D"/>
    <w:rsid w:val="006B47B6"/>
    <w:rsid w:val="006B5473"/>
    <w:rsid w:val="006B6BB4"/>
    <w:rsid w:val="006B7428"/>
    <w:rsid w:val="006C54A7"/>
    <w:rsid w:val="006C5ED7"/>
    <w:rsid w:val="006C69FB"/>
    <w:rsid w:val="006D0AA8"/>
    <w:rsid w:val="006D39EE"/>
    <w:rsid w:val="006D5291"/>
    <w:rsid w:val="006D6389"/>
    <w:rsid w:val="006E0B10"/>
    <w:rsid w:val="006E4D5F"/>
    <w:rsid w:val="006E4E37"/>
    <w:rsid w:val="006E4EA6"/>
    <w:rsid w:val="006F4B90"/>
    <w:rsid w:val="006F665F"/>
    <w:rsid w:val="006F777B"/>
    <w:rsid w:val="0070059C"/>
    <w:rsid w:val="00700AC7"/>
    <w:rsid w:val="00701F26"/>
    <w:rsid w:val="00703385"/>
    <w:rsid w:val="00703823"/>
    <w:rsid w:val="007052CD"/>
    <w:rsid w:val="00707722"/>
    <w:rsid w:val="00710CEE"/>
    <w:rsid w:val="00713190"/>
    <w:rsid w:val="00713654"/>
    <w:rsid w:val="0071375B"/>
    <w:rsid w:val="00713D12"/>
    <w:rsid w:val="007144B5"/>
    <w:rsid w:val="007175DB"/>
    <w:rsid w:val="007177C1"/>
    <w:rsid w:val="00720256"/>
    <w:rsid w:val="00720E79"/>
    <w:rsid w:val="00721EC8"/>
    <w:rsid w:val="0072268E"/>
    <w:rsid w:val="00722B9A"/>
    <w:rsid w:val="00725032"/>
    <w:rsid w:val="00727E99"/>
    <w:rsid w:val="007336AD"/>
    <w:rsid w:val="00733752"/>
    <w:rsid w:val="00735A38"/>
    <w:rsid w:val="00736243"/>
    <w:rsid w:val="0074114D"/>
    <w:rsid w:val="00741DFF"/>
    <w:rsid w:val="00743D89"/>
    <w:rsid w:val="007476F5"/>
    <w:rsid w:val="0075069C"/>
    <w:rsid w:val="00751D98"/>
    <w:rsid w:val="007528B0"/>
    <w:rsid w:val="00753D7E"/>
    <w:rsid w:val="00754E61"/>
    <w:rsid w:val="00754FF3"/>
    <w:rsid w:val="00755590"/>
    <w:rsid w:val="007567FB"/>
    <w:rsid w:val="00756A67"/>
    <w:rsid w:val="00757A24"/>
    <w:rsid w:val="007627B7"/>
    <w:rsid w:val="00763C66"/>
    <w:rsid w:val="00763C79"/>
    <w:rsid w:val="007646D6"/>
    <w:rsid w:val="0076589C"/>
    <w:rsid w:val="007674E2"/>
    <w:rsid w:val="00777514"/>
    <w:rsid w:val="007830B8"/>
    <w:rsid w:val="007838F3"/>
    <w:rsid w:val="007868AE"/>
    <w:rsid w:val="007875BE"/>
    <w:rsid w:val="0079106A"/>
    <w:rsid w:val="00791A76"/>
    <w:rsid w:val="00791AE3"/>
    <w:rsid w:val="0079485A"/>
    <w:rsid w:val="007A072A"/>
    <w:rsid w:val="007A1BF0"/>
    <w:rsid w:val="007A4086"/>
    <w:rsid w:val="007A57CB"/>
    <w:rsid w:val="007A593D"/>
    <w:rsid w:val="007A6C4C"/>
    <w:rsid w:val="007B0243"/>
    <w:rsid w:val="007B07D8"/>
    <w:rsid w:val="007B197F"/>
    <w:rsid w:val="007B2EC1"/>
    <w:rsid w:val="007B5E47"/>
    <w:rsid w:val="007B64BB"/>
    <w:rsid w:val="007B690C"/>
    <w:rsid w:val="007B6968"/>
    <w:rsid w:val="007C13B4"/>
    <w:rsid w:val="007C285B"/>
    <w:rsid w:val="007C435B"/>
    <w:rsid w:val="007C7574"/>
    <w:rsid w:val="007D11E0"/>
    <w:rsid w:val="007D183A"/>
    <w:rsid w:val="007D2143"/>
    <w:rsid w:val="007D5E3D"/>
    <w:rsid w:val="007D6DAE"/>
    <w:rsid w:val="007E4E20"/>
    <w:rsid w:val="007F0C14"/>
    <w:rsid w:val="007F14BE"/>
    <w:rsid w:val="007F24D2"/>
    <w:rsid w:val="007F4E34"/>
    <w:rsid w:val="007F4EF0"/>
    <w:rsid w:val="007F7414"/>
    <w:rsid w:val="007F7C01"/>
    <w:rsid w:val="00801F66"/>
    <w:rsid w:val="00803A15"/>
    <w:rsid w:val="0080502B"/>
    <w:rsid w:val="00805111"/>
    <w:rsid w:val="008056EE"/>
    <w:rsid w:val="00806020"/>
    <w:rsid w:val="008077AA"/>
    <w:rsid w:val="00810E27"/>
    <w:rsid w:val="008111A7"/>
    <w:rsid w:val="008132F5"/>
    <w:rsid w:val="00813963"/>
    <w:rsid w:val="00815121"/>
    <w:rsid w:val="008161D5"/>
    <w:rsid w:val="00816BCA"/>
    <w:rsid w:val="00816F3D"/>
    <w:rsid w:val="008176AD"/>
    <w:rsid w:val="008206C8"/>
    <w:rsid w:val="00823A2E"/>
    <w:rsid w:val="00824897"/>
    <w:rsid w:val="008255C1"/>
    <w:rsid w:val="00826AF5"/>
    <w:rsid w:val="008301A6"/>
    <w:rsid w:val="00831EDE"/>
    <w:rsid w:val="008352AA"/>
    <w:rsid w:val="0083715C"/>
    <w:rsid w:val="00837C10"/>
    <w:rsid w:val="00840FF8"/>
    <w:rsid w:val="00845625"/>
    <w:rsid w:val="00847D18"/>
    <w:rsid w:val="008501FC"/>
    <w:rsid w:val="00854E37"/>
    <w:rsid w:val="008561D2"/>
    <w:rsid w:val="00861D14"/>
    <w:rsid w:val="00862F66"/>
    <w:rsid w:val="00863468"/>
    <w:rsid w:val="008634AA"/>
    <w:rsid w:val="008650C9"/>
    <w:rsid w:val="00866818"/>
    <w:rsid w:val="00866AC4"/>
    <w:rsid w:val="00867E29"/>
    <w:rsid w:val="00871FB0"/>
    <w:rsid w:val="00872B04"/>
    <w:rsid w:val="00874782"/>
    <w:rsid w:val="00874B14"/>
    <w:rsid w:val="00876C94"/>
    <w:rsid w:val="008801C1"/>
    <w:rsid w:val="00884D2A"/>
    <w:rsid w:val="00886132"/>
    <w:rsid w:val="00891C39"/>
    <w:rsid w:val="00891D73"/>
    <w:rsid w:val="0089228E"/>
    <w:rsid w:val="0089273B"/>
    <w:rsid w:val="008946E5"/>
    <w:rsid w:val="00894E75"/>
    <w:rsid w:val="0089552D"/>
    <w:rsid w:val="008958F4"/>
    <w:rsid w:val="008960E5"/>
    <w:rsid w:val="008A14FC"/>
    <w:rsid w:val="008A16FC"/>
    <w:rsid w:val="008A2948"/>
    <w:rsid w:val="008A2D02"/>
    <w:rsid w:val="008A39DB"/>
    <w:rsid w:val="008A593C"/>
    <w:rsid w:val="008A5973"/>
    <w:rsid w:val="008B190F"/>
    <w:rsid w:val="008B52BD"/>
    <w:rsid w:val="008B5757"/>
    <w:rsid w:val="008B66B4"/>
    <w:rsid w:val="008B71F0"/>
    <w:rsid w:val="008C2E6C"/>
    <w:rsid w:val="008C4D3D"/>
    <w:rsid w:val="008C5BE4"/>
    <w:rsid w:val="008D0DAD"/>
    <w:rsid w:val="008D1D2B"/>
    <w:rsid w:val="008D44BE"/>
    <w:rsid w:val="008D552C"/>
    <w:rsid w:val="008D72C8"/>
    <w:rsid w:val="008D78BC"/>
    <w:rsid w:val="008E0D52"/>
    <w:rsid w:val="008E0D88"/>
    <w:rsid w:val="008E10E8"/>
    <w:rsid w:val="008E3EC1"/>
    <w:rsid w:val="008E4768"/>
    <w:rsid w:val="008E5207"/>
    <w:rsid w:val="008E64FA"/>
    <w:rsid w:val="008F0EC6"/>
    <w:rsid w:val="008F2B93"/>
    <w:rsid w:val="008F4ECB"/>
    <w:rsid w:val="0090031E"/>
    <w:rsid w:val="009137ED"/>
    <w:rsid w:val="0091541A"/>
    <w:rsid w:val="00915564"/>
    <w:rsid w:val="009161EC"/>
    <w:rsid w:val="0092058D"/>
    <w:rsid w:val="00920C57"/>
    <w:rsid w:val="00922142"/>
    <w:rsid w:val="00922857"/>
    <w:rsid w:val="00922D0C"/>
    <w:rsid w:val="00923A41"/>
    <w:rsid w:val="00923E34"/>
    <w:rsid w:val="00924025"/>
    <w:rsid w:val="00924D18"/>
    <w:rsid w:val="0092692E"/>
    <w:rsid w:val="00926D08"/>
    <w:rsid w:val="00927F23"/>
    <w:rsid w:val="009315C7"/>
    <w:rsid w:val="00932CBA"/>
    <w:rsid w:val="00935EC7"/>
    <w:rsid w:val="009360E6"/>
    <w:rsid w:val="009370C4"/>
    <w:rsid w:val="00937CEF"/>
    <w:rsid w:val="0094074D"/>
    <w:rsid w:val="00941302"/>
    <w:rsid w:val="00941C38"/>
    <w:rsid w:val="00941E04"/>
    <w:rsid w:val="00944E85"/>
    <w:rsid w:val="00946630"/>
    <w:rsid w:val="00946DDB"/>
    <w:rsid w:val="00946FB0"/>
    <w:rsid w:val="00950D1E"/>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32C7"/>
    <w:rsid w:val="009A4A7E"/>
    <w:rsid w:val="009A5B88"/>
    <w:rsid w:val="009A7B4A"/>
    <w:rsid w:val="009B06CB"/>
    <w:rsid w:val="009B1156"/>
    <w:rsid w:val="009B28C9"/>
    <w:rsid w:val="009B4F85"/>
    <w:rsid w:val="009C00BE"/>
    <w:rsid w:val="009C036B"/>
    <w:rsid w:val="009C22E6"/>
    <w:rsid w:val="009C2C88"/>
    <w:rsid w:val="009C42A2"/>
    <w:rsid w:val="009C5823"/>
    <w:rsid w:val="009D1A2A"/>
    <w:rsid w:val="009D2B9F"/>
    <w:rsid w:val="009D2C5B"/>
    <w:rsid w:val="009D328D"/>
    <w:rsid w:val="009D3392"/>
    <w:rsid w:val="009D4F4F"/>
    <w:rsid w:val="009D761B"/>
    <w:rsid w:val="009E1F20"/>
    <w:rsid w:val="009E2BA1"/>
    <w:rsid w:val="009E3CAA"/>
    <w:rsid w:val="009E4A44"/>
    <w:rsid w:val="009E668A"/>
    <w:rsid w:val="009E6973"/>
    <w:rsid w:val="009E758A"/>
    <w:rsid w:val="009F3C80"/>
    <w:rsid w:val="009F6B62"/>
    <w:rsid w:val="009F6F82"/>
    <w:rsid w:val="009F70AE"/>
    <w:rsid w:val="00A00983"/>
    <w:rsid w:val="00A01B6F"/>
    <w:rsid w:val="00A01D31"/>
    <w:rsid w:val="00A027DB"/>
    <w:rsid w:val="00A05DB6"/>
    <w:rsid w:val="00A07924"/>
    <w:rsid w:val="00A12494"/>
    <w:rsid w:val="00A12BD8"/>
    <w:rsid w:val="00A1384B"/>
    <w:rsid w:val="00A144FA"/>
    <w:rsid w:val="00A1522A"/>
    <w:rsid w:val="00A155CE"/>
    <w:rsid w:val="00A1563A"/>
    <w:rsid w:val="00A167E4"/>
    <w:rsid w:val="00A1733C"/>
    <w:rsid w:val="00A20AA9"/>
    <w:rsid w:val="00A22740"/>
    <w:rsid w:val="00A25B10"/>
    <w:rsid w:val="00A26C59"/>
    <w:rsid w:val="00A336BA"/>
    <w:rsid w:val="00A34D26"/>
    <w:rsid w:val="00A3561D"/>
    <w:rsid w:val="00A35A41"/>
    <w:rsid w:val="00A362F7"/>
    <w:rsid w:val="00A4062C"/>
    <w:rsid w:val="00A4282E"/>
    <w:rsid w:val="00A4470B"/>
    <w:rsid w:val="00A44EC8"/>
    <w:rsid w:val="00A46E1A"/>
    <w:rsid w:val="00A47323"/>
    <w:rsid w:val="00A517CE"/>
    <w:rsid w:val="00A5383E"/>
    <w:rsid w:val="00A60ACB"/>
    <w:rsid w:val="00A63404"/>
    <w:rsid w:val="00A63994"/>
    <w:rsid w:val="00A64693"/>
    <w:rsid w:val="00A71039"/>
    <w:rsid w:val="00A71973"/>
    <w:rsid w:val="00A73FB2"/>
    <w:rsid w:val="00A75314"/>
    <w:rsid w:val="00A75B2C"/>
    <w:rsid w:val="00A7637F"/>
    <w:rsid w:val="00A76623"/>
    <w:rsid w:val="00A76820"/>
    <w:rsid w:val="00A76F7A"/>
    <w:rsid w:val="00A77A3C"/>
    <w:rsid w:val="00A80152"/>
    <w:rsid w:val="00A80CCD"/>
    <w:rsid w:val="00A84217"/>
    <w:rsid w:val="00A847A5"/>
    <w:rsid w:val="00A85515"/>
    <w:rsid w:val="00A86D5A"/>
    <w:rsid w:val="00A86EDA"/>
    <w:rsid w:val="00A9265C"/>
    <w:rsid w:val="00A94086"/>
    <w:rsid w:val="00A94107"/>
    <w:rsid w:val="00A94636"/>
    <w:rsid w:val="00A94C7D"/>
    <w:rsid w:val="00A95F69"/>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1369"/>
    <w:rsid w:val="00AC4D84"/>
    <w:rsid w:val="00AC5631"/>
    <w:rsid w:val="00AC5C43"/>
    <w:rsid w:val="00AC6AA3"/>
    <w:rsid w:val="00AC75F1"/>
    <w:rsid w:val="00AC7768"/>
    <w:rsid w:val="00AD11A8"/>
    <w:rsid w:val="00AD222B"/>
    <w:rsid w:val="00AD365E"/>
    <w:rsid w:val="00AD3EB6"/>
    <w:rsid w:val="00AD578D"/>
    <w:rsid w:val="00AD7A40"/>
    <w:rsid w:val="00AD7C64"/>
    <w:rsid w:val="00AE025C"/>
    <w:rsid w:val="00AE4D3E"/>
    <w:rsid w:val="00AE51C8"/>
    <w:rsid w:val="00AE5B5E"/>
    <w:rsid w:val="00AE5EE2"/>
    <w:rsid w:val="00AE6AFF"/>
    <w:rsid w:val="00AE6C54"/>
    <w:rsid w:val="00AE6E59"/>
    <w:rsid w:val="00AF12F8"/>
    <w:rsid w:val="00AF192B"/>
    <w:rsid w:val="00AF3B62"/>
    <w:rsid w:val="00AF7508"/>
    <w:rsid w:val="00AF7BDA"/>
    <w:rsid w:val="00B00115"/>
    <w:rsid w:val="00B010BD"/>
    <w:rsid w:val="00B02672"/>
    <w:rsid w:val="00B02D57"/>
    <w:rsid w:val="00B03BC3"/>
    <w:rsid w:val="00B04045"/>
    <w:rsid w:val="00B0493F"/>
    <w:rsid w:val="00B04DB1"/>
    <w:rsid w:val="00B051D5"/>
    <w:rsid w:val="00B0553A"/>
    <w:rsid w:val="00B05EAA"/>
    <w:rsid w:val="00B06237"/>
    <w:rsid w:val="00B06EB3"/>
    <w:rsid w:val="00B112AA"/>
    <w:rsid w:val="00B113CE"/>
    <w:rsid w:val="00B12F5D"/>
    <w:rsid w:val="00B158CA"/>
    <w:rsid w:val="00B17231"/>
    <w:rsid w:val="00B17248"/>
    <w:rsid w:val="00B20641"/>
    <w:rsid w:val="00B2303E"/>
    <w:rsid w:val="00B23464"/>
    <w:rsid w:val="00B31F7B"/>
    <w:rsid w:val="00B33981"/>
    <w:rsid w:val="00B359E7"/>
    <w:rsid w:val="00B35CA5"/>
    <w:rsid w:val="00B35FE1"/>
    <w:rsid w:val="00B37834"/>
    <w:rsid w:val="00B37E15"/>
    <w:rsid w:val="00B4125F"/>
    <w:rsid w:val="00B456DE"/>
    <w:rsid w:val="00B47261"/>
    <w:rsid w:val="00B4744E"/>
    <w:rsid w:val="00B50338"/>
    <w:rsid w:val="00B50E19"/>
    <w:rsid w:val="00B53A4C"/>
    <w:rsid w:val="00B54432"/>
    <w:rsid w:val="00B54AF4"/>
    <w:rsid w:val="00B54B7A"/>
    <w:rsid w:val="00B55F89"/>
    <w:rsid w:val="00B560D6"/>
    <w:rsid w:val="00B57037"/>
    <w:rsid w:val="00B60C3E"/>
    <w:rsid w:val="00B641E4"/>
    <w:rsid w:val="00B66B1A"/>
    <w:rsid w:val="00B66E36"/>
    <w:rsid w:val="00B7095B"/>
    <w:rsid w:val="00B73BB8"/>
    <w:rsid w:val="00B7440C"/>
    <w:rsid w:val="00B746E3"/>
    <w:rsid w:val="00B75D82"/>
    <w:rsid w:val="00B77FAD"/>
    <w:rsid w:val="00B8094A"/>
    <w:rsid w:val="00B81521"/>
    <w:rsid w:val="00B81CB7"/>
    <w:rsid w:val="00B84BAB"/>
    <w:rsid w:val="00B9024A"/>
    <w:rsid w:val="00B90899"/>
    <w:rsid w:val="00B90EE6"/>
    <w:rsid w:val="00B9765C"/>
    <w:rsid w:val="00BA1375"/>
    <w:rsid w:val="00BA218E"/>
    <w:rsid w:val="00BA41E4"/>
    <w:rsid w:val="00BA4F4E"/>
    <w:rsid w:val="00BA4FE4"/>
    <w:rsid w:val="00BA572C"/>
    <w:rsid w:val="00BA68AB"/>
    <w:rsid w:val="00BA783B"/>
    <w:rsid w:val="00BB026C"/>
    <w:rsid w:val="00BB0C40"/>
    <w:rsid w:val="00BB21E0"/>
    <w:rsid w:val="00BB33FD"/>
    <w:rsid w:val="00BB405E"/>
    <w:rsid w:val="00BB4886"/>
    <w:rsid w:val="00BB6B64"/>
    <w:rsid w:val="00BB70A6"/>
    <w:rsid w:val="00BC0B02"/>
    <w:rsid w:val="00BC1D62"/>
    <w:rsid w:val="00BC2D27"/>
    <w:rsid w:val="00BC2E7E"/>
    <w:rsid w:val="00BC31D5"/>
    <w:rsid w:val="00BD11D1"/>
    <w:rsid w:val="00BD11F3"/>
    <w:rsid w:val="00BD6AB1"/>
    <w:rsid w:val="00BE0B40"/>
    <w:rsid w:val="00BE115D"/>
    <w:rsid w:val="00BE16A8"/>
    <w:rsid w:val="00BE2686"/>
    <w:rsid w:val="00BE5B6D"/>
    <w:rsid w:val="00BE6C0D"/>
    <w:rsid w:val="00BE6C23"/>
    <w:rsid w:val="00BE7B9E"/>
    <w:rsid w:val="00BE7DAB"/>
    <w:rsid w:val="00BF0D27"/>
    <w:rsid w:val="00BF1184"/>
    <w:rsid w:val="00BF1686"/>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2D4F"/>
    <w:rsid w:val="00C44C67"/>
    <w:rsid w:val="00C44E9A"/>
    <w:rsid w:val="00C45313"/>
    <w:rsid w:val="00C50FC2"/>
    <w:rsid w:val="00C541B1"/>
    <w:rsid w:val="00C561C3"/>
    <w:rsid w:val="00C64433"/>
    <w:rsid w:val="00C652CA"/>
    <w:rsid w:val="00C65B34"/>
    <w:rsid w:val="00C65B72"/>
    <w:rsid w:val="00C67543"/>
    <w:rsid w:val="00C71073"/>
    <w:rsid w:val="00C71B5F"/>
    <w:rsid w:val="00C7627E"/>
    <w:rsid w:val="00C76713"/>
    <w:rsid w:val="00C776E5"/>
    <w:rsid w:val="00C80D08"/>
    <w:rsid w:val="00C81578"/>
    <w:rsid w:val="00C84690"/>
    <w:rsid w:val="00C8697C"/>
    <w:rsid w:val="00C8734A"/>
    <w:rsid w:val="00C8748D"/>
    <w:rsid w:val="00C91B0E"/>
    <w:rsid w:val="00C92418"/>
    <w:rsid w:val="00C959F2"/>
    <w:rsid w:val="00C95C4B"/>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B7D7C"/>
    <w:rsid w:val="00CC064C"/>
    <w:rsid w:val="00CC1197"/>
    <w:rsid w:val="00CC1624"/>
    <w:rsid w:val="00CC17C2"/>
    <w:rsid w:val="00CC3686"/>
    <w:rsid w:val="00CC75F4"/>
    <w:rsid w:val="00CD00D8"/>
    <w:rsid w:val="00CD360A"/>
    <w:rsid w:val="00CD4C87"/>
    <w:rsid w:val="00CD529F"/>
    <w:rsid w:val="00CD55B7"/>
    <w:rsid w:val="00CD6D42"/>
    <w:rsid w:val="00CE18F8"/>
    <w:rsid w:val="00CE1E97"/>
    <w:rsid w:val="00CE2A48"/>
    <w:rsid w:val="00CE414D"/>
    <w:rsid w:val="00CE6A5A"/>
    <w:rsid w:val="00CF33CE"/>
    <w:rsid w:val="00CF6DA9"/>
    <w:rsid w:val="00D049B0"/>
    <w:rsid w:val="00D06077"/>
    <w:rsid w:val="00D06883"/>
    <w:rsid w:val="00D07B8C"/>
    <w:rsid w:val="00D11835"/>
    <w:rsid w:val="00D13210"/>
    <w:rsid w:val="00D1339C"/>
    <w:rsid w:val="00D14560"/>
    <w:rsid w:val="00D14C98"/>
    <w:rsid w:val="00D17F78"/>
    <w:rsid w:val="00D244EF"/>
    <w:rsid w:val="00D26B9B"/>
    <w:rsid w:val="00D27A1E"/>
    <w:rsid w:val="00D30FE1"/>
    <w:rsid w:val="00D311B9"/>
    <w:rsid w:val="00D327A2"/>
    <w:rsid w:val="00D3311A"/>
    <w:rsid w:val="00D33481"/>
    <w:rsid w:val="00D339CA"/>
    <w:rsid w:val="00D33C27"/>
    <w:rsid w:val="00D3479C"/>
    <w:rsid w:val="00D364E7"/>
    <w:rsid w:val="00D365D8"/>
    <w:rsid w:val="00D41A00"/>
    <w:rsid w:val="00D42399"/>
    <w:rsid w:val="00D431C6"/>
    <w:rsid w:val="00D43767"/>
    <w:rsid w:val="00D51B9F"/>
    <w:rsid w:val="00D51E5B"/>
    <w:rsid w:val="00D52A56"/>
    <w:rsid w:val="00D53F77"/>
    <w:rsid w:val="00D5402A"/>
    <w:rsid w:val="00D60A9C"/>
    <w:rsid w:val="00D62353"/>
    <w:rsid w:val="00D62A8F"/>
    <w:rsid w:val="00D63C5F"/>
    <w:rsid w:val="00D6538E"/>
    <w:rsid w:val="00D708FB"/>
    <w:rsid w:val="00D73CD3"/>
    <w:rsid w:val="00D7486E"/>
    <w:rsid w:val="00D74C44"/>
    <w:rsid w:val="00D757AB"/>
    <w:rsid w:val="00D76BF6"/>
    <w:rsid w:val="00D773BE"/>
    <w:rsid w:val="00D77D47"/>
    <w:rsid w:val="00D81C0A"/>
    <w:rsid w:val="00D82B0F"/>
    <w:rsid w:val="00D83B96"/>
    <w:rsid w:val="00D863B7"/>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385B"/>
    <w:rsid w:val="00DD78E6"/>
    <w:rsid w:val="00DE0D75"/>
    <w:rsid w:val="00DE19DA"/>
    <w:rsid w:val="00DE2547"/>
    <w:rsid w:val="00DE2593"/>
    <w:rsid w:val="00DE2F2E"/>
    <w:rsid w:val="00DE4F37"/>
    <w:rsid w:val="00DE7488"/>
    <w:rsid w:val="00DE777E"/>
    <w:rsid w:val="00DF213B"/>
    <w:rsid w:val="00DF7636"/>
    <w:rsid w:val="00DF7750"/>
    <w:rsid w:val="00E020FA"/>
    <w:rsid w:val="00E036B9"/>
    <w:rsid w:val="00E05E8E"/>
    <w:rsid w:val="00E11591"/>
    <w:rsid w:val="00E15508"/>
    <w:rsid w:val="00E17DDA"/>
    <w:rsid w:val="00E219C5"/>
    <w:rsid w:val="00E2337E"/>
    <w:rsid w:val="00E26975"/>
    <w:rsid w:val="00E31221"/>
    <w:rsid w:val="00E33A52"/>
    <w:rsid w:val="00E37EE8"/>
    <w:rsid w:val="00E42E20"/>
    <w:rsid w:val="00E44455"/>
    <w:rsid w:val="00E44CDF"/>
    <w:rsid w:val="00E4564D"/>
    <w:rsid w:val="00E47744"/>
    <w:rsid w:val="00E5160D"/>
    <w:rsid w:val="00E519AC"/>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251E"/>
    <w:rsid w:val="00E847C2"/>
    <w:rsid w:val="00E86584"/>
    <w:rsid w:val="00E87AAF"/>
    <w:rsid w:val="00E93CCA"/>
    <w:rsid w:val="00E9455E"/>
    <w:rsid w:val="00E956B5"/>
    <w:rsid w:val="00E95A15"/>
    <w:rsid w:val="00E960FD"/>
    <w:rsid w:val="00EA29A7"/>
    <w:rsid w:val="00EA57A2"/>
    <w:rsid w:val="00EA7148"/>
    <w:rsid w:val="00EA793E"/>
    <w:rsid w:val="00EB0F0D"/>
    <w:rsid w:val="00EB2CC5"/>
    <w:rsid w:val="00EB3647"/>
    <w:rsid w:val="00EB36F1"/>
    <w:rsid w:val="00EB3FE1"/>
    <w:rsid w:val="00EB4596"/>
    <w:rsid w:val="00EB590F"/>
    <w:rsid w:val="00EB5DE4"/>
    <w:rsid w:val="00EB6B6D"/>
    <w:rsid w:val="00EB6C54"/>
    <w:rsid w:val="00EB7146"/>
    <w:rsid w:val="00EB762B"/>
    <w:rsid w:val="00EB7A2A"/>
    <w:rsid w:val="00EB7B99"/>
    <w:rsid w:val="00EC31E0"/>
    <w:rsid w:val="00EC4C11"/>
    <w:rsid w:val="00EC5AF0"/>
    <w:rsid w:val="00EC6CEC"/>
    <w:rsid w:val="00ED07C2"/>
    <w:rsid w:val="00ED1F51"/>
    <w:rsid w:val="00ED31CA"/>
    <w:rsid w:val="00ED342B"/>
    <w:rsid w:val="00ED4367"/>
    <w:rsid w:val="00ED592F"/>
    <w:rsid w:val="00ED75D4"/>
    <w:rsid w:val="00EE03BC"/>
    <w:rsid w:val="00EE068F"/>
    <w:rsid w:val="00EE1136"/>
    <w:rsid w:val="00EE37F5"/>
    <w:rsid w:val="00EE3DC3"/>
    <w:rsid w:val="00EE42AC"/>
    <w:rsid w:val="00EE4636"/>
    <w:rsid w:val="00EF2B2A"/>
    <w:rsid w:val="00EF3051"/>
    <w:rsid w:val="00EF37E6"/>
    <w:rsid w:val="00EF391D"/>
    <w:rsid w:val="00EF4609"/>
    <w:rsid w:val="00EF4F63"/>
    <w:rsid w:val="00EF58DB"/>
    <w:rsid w:val="00EF7828"/>
    <w:rsid w:val="00F01A01"/>
    <w:rsid w:val="00F05DDD"/>
    <w:rsid w:val="00F06C33"/>
    <w:rsid w:val="00F078A8"/>
    <w:rsid w:val="00F114D7"/>
    <w:rsid w:val="00F121DD"/>
    <w:rsid w:val="00F1222A"/>
    <w:rsid w:val="00F13E19"/>
    <w:rsid w:val="00F15B64"/>
    <w:rsid w:val="00F2354F"/>
    <w:rsid w:val="00F25B1C"/>
    <w:rsid w:val="00F26280"/>
    <w:rsid w:val="00F27A16"/>
    <w:rsid w:val="00F30A5E"/>
    <w:rsid w:val="00F30E77"/>
    <w:rsid w:val="00F31F4F"/>
    <w:rsid w:val="00F34655"/>
    <w:rsid w:val="00F35F2F"/>
    <w:rsid w:val="00F41B1F"/>
    <w:rsid w:val="00F4264C"/>
    <w:rsid w:val="00F439C6"/>
    <w:rsid w:val="00F471F9"/>
    <w:rsid w:val="00F51419"/>
    <w:rsid w:val="00F518C0"/>
    <w:rsid w:val="00F52147"/>
    <w:rsid w:val="00F52247"/>
    <w:rsid w:val="00F52D75"/>
    <w:rsid w:val="00F551E4"/>
    <w:rsid w:val="00F558A1"/>
    <w:rsid w:val="00F57FD9"/>
    <w:rsid w:val="00F613FE"/>
    <w:rsid w:val="00F6156A"/>
    <w:rsid w:val="00F634F1"/>
    <w:rsid w:val="00F63A0D"/>
    <w:rsid w:val="00F66575"/>
    <w:rsid w:val="00F70856"/>
    <w:rsid w:val="00F70CCE"/>
    <w:rsid w:val="00F722D0"/>
    <w:rsid w:val="00F72F62"/>
    <w:rsid w:val="00F7345A"/>
    <w:rsid w:val="00F73C6C"/>
    <w:rsid w:val="00F74546"/>
    <w:rsid w:val="00F75389"/>
    <w:rsid w:val="00F808D5"/>
    <w:rsid w:val="00F850F3"/>
    <w:rsid w:val="00F8745B"/>
    <w:rsid w:val="00F91F34"/>
    <w:rsid w:val="00F9366F"/>
    <w:rsid w:val="00F9454C"/>
    <w:rsid w:val="00F95F3F"/>
    <w:rsid w:val="00F9681C"/>
    <w:rsid w:val="00F96F4D"/>
    <w:rsid w:val="00F9779B"/>
    <w:rsid w:val="00FA4BF5"/>
    <w:rsid w:val="00FB0A8B"/>
    <w:rsid w:val="00FB3E27"/>
    <w:rsid w:val="00FB4D73"/>
    <w:rsid w:val="00FB5273"/>
    <w:rsid w:val="00FB6C70"/>
    <w:rsid w:val="00FC166E"/>
    <w:rsid w:val="00FC1FC2"/>
    <w:rsid w:val="00FC4325"/>
    <w:rsid w:val="00FC7699"/>
    <w:rsid w:val="00FD1007"/>
    <w:rsid w:val="00FD1EEA"/>
    <w:rsid w:val="00FD39CD"/>
    <w:rsid w:val="00FD3FD0"/>
    <w:rsid w:val="00FD48FB"/>
    <w:rsid w:val="00FE0324"/>
    <w:rsid w:val="00FE1730"/>
    <w:rsid w:val="00FE3EDA"/>
    <w:rsid w:val="00FF3E7D"/>
    <w:rsid w:val="00FF4A20"/>
    <w:rsid w:val="00FF6261"/>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image" Target="media/image10.png"/><Relationship Id="rId38" Type="http://schemas.openxmlformats.org/officeDocument/2006/relationships/hyperlink" Target="https://github.com/93ramadan/uob-bdsa601-project"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9.png"/><Relationship Id="rId37" Type="http://schemas.openxmlformats.org/officeDocument/2006/relationships/header" Target="header10.xml"/><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image" Target="media/image7.png"/><Relationship Id="rId35" Type="http://schemas.openxmlformats.org/officeDocument/2006/relationships/header" Target="header9.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4484</TotalTime>
  <Pages>43</Pages>
  <Words>12763</Words>
  <Characters>72753</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Ahmed Ramadan</cp:lastModifiedBy>
  <cp:revision>1347</cp:revision>
  <cp:lastPrinted>2020-12-04T15:16:00Z</cp:lastPrinted>
  <dcterms:created xsi:type="dcterms:W3CDTF">2020-11-24T18:26:00Z</dcterms:created>
  <dcterms:modified xsi:type="dcterms:W3CDTF">2020-12-18T05:35:00Z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52965a6f-be64-3b0d-98c9-f749fd15bd68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