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contextualSpacing/>
        <w:rPr>
          <w:rFonts w:ascii="Times New Roman" w:hAnsi="Times New Roman" w:eastAsia="宋体" w:cs="Times New Roman"/>
          <w:b/>
          <w:sz w:val="21"/>
          <w:szCs w:val="21"/>
        </w:rPr>
      </w:pPr>
      <w:r>
        <w:rPr>
          <w:rFonts w:ascii="Times New Roman" w:hAnsi="Times New Roman" w:eastAsia="宋体" w:cs="Times New Roman"/>
          <w:b/>
          <w:sz w:val="21"/>
          <w:szCs w:val="21"/>
        </w:rPr>
        <w:t xml:space="preserve">Content summary of 8th Classic Germany Philosophy Lecture </w:t>
      </w:r>
    </w:p>
    <w:p>
      <w:pPr>
        <w:spacing w:line="240" w:lineRule="auto"/>
        <w:contextualSpacing/>
        <w:rPr>
          <w:rFonts w:ascii="Times New Roman" w:hAnsi="Times New Roman" w:eastAsia="宋体" w:cs="Times New Roman"/>
          <w:b/>
          <w:sz w:val="21"/>
          <w:szCs w:val="21"/>
        </w:rPr>
      </w:pPr>
      <w:r>
        <w:rPr>
          <w:rFonts w:ascii="Times New Roman" w:hAnsi="Times New Roman" w:eastAsia="宋体" w:cs="Times New Roman"/>
          <w:b/>
          <w:sz w:val="21"/>
          <w:szCs w:val="21"/>
        </w:rPr>
        <w:t xml:space="preserve">Department of Philosophy, Huazhong University of Science and Technology </w:t>
      </w:r>
    </w:p>
    <w:p>
      <w:pPr>
        <w:spacing w:line="240" w:lineRule="auto"/>
        <w:contextualSpacing/>
        <w:rPr>
          <w:rFonts w:hint="eastAsia" w:ascii="Times New Roman" w:hAnsi="Times New Roman" w:eastAsia="宋体" w:cs="Times New Roman"/>
          <w:sz w:val="21"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1440" w:right="1440" w:bottom="1440" w:left="1440" w:header="708" w:footer="708" w:gutter="0"/>
          <w:cols w:space="425" w:num="1"/>
          <w:docGrid w:linePitch="360" w:charSpace="0"/>
        </w:sectPr>
      </w:pPr>
      <w:r>
        <w:rPr>
          <w:rFonts w:ascii="Times New Roman" w:hAnsi="Times New Roman" w:eastAsia="宋体" w:cs="Times New Roman"/>
          <w:b/>
          <w:sz w:val="21"/>
          <w:szCs w:val="21"/>
        </w:rPr>
        <w:t>Chair Professor：</w:t>
      </w:r>
      <w:r>
        <w:rPr>
          <w:rFonts w:ascii="Times New Roman" w:hAnsi="Times New Roman" w:eastAsia="宋体" w:cs="Times New Roman"/>
          <w:sz w:val="21"/>
          <w:szCs w:val="21"/>
        </w:rPr>
        <w:t>Otfried Höffe</w:t>
      </w:r>
    </w:p>
    <w:p>
      <w:pPr>
        <w:spacing w:line="240" w:lineRule="auto"/>
        <w:contextualSpacing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b/>
          <w:sz w:val="21"/>
          <w:szCs w:val="21"/>
        </w:rPr>
        <w:t>Date：</w:t>
      </w:r>
      <w:r>
        <w:rPr>
          <w:rFonts w:ascii="Times New Roman" w:hAnsi="Times New Roman" w:eastAsia="宋体" w:cs="Times New Roman"/>
          <w:sz w:val="21"/>
          <w:szCs w:val="21"/>
        </w:rPr>
        <w:t>22th，October ,2016</w:t>
      </w:r>
    </w:p>
    <w:p>
      <w:pPr>
        <w:spacing w:line="240" w:lineRule="auto"/>
        <w:contextualSpacing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b/>
          <w:sz w:val="21"/>
          <w:szCs w:val="21"/>
        </w:rPr>
        <w:t>Course Title：Freedom</w:t>
      </w:r>
      <w:r>
        <w:rPr>
          <w:rFonts w:hint="eastAsia" w:ascii="宋体" w:hAnsi="宋体" w:eastAsia="宋体" w:cs="宋体"/>
          <w:b/>
          <w:sz w:val="21"/>
          <w:szCs w:val="21"/>
        </w:rPr>
        <w:t>Ⅱ</w:t>
      </w:r>
      <w:r>
        <w:rPr>
          <w:rFonts w:ascii="Times New Roman" w:hAnsi="Times New Roman" w:eastAsia="宋体" w:cs="Times New Roman"/>
          <w:b/>
          <w:sz w:val="21"/>
          <w:szCs w:val="21"/>
        </w:rPr>
        <w:t>:The Actuality of Freedom</w:t>
      </w:r>
    </w:p>
    <w:p>
      <w:pPr>
        <w:spacing w:line="240" w:lineRule="auto"/>
        <w:contextualSpacing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b/>
          <w:sz w:val="21"/>
          <w:szCs w:val="21"/>
        </w:rPr>
        <w:t>Presenter</w:t>
      </w:r>
      <w:r>
        <w:rPr>
          <w:rFonts w:ascii="Times New Roman" w:hAnsi="Times New Roman" w:eastAsia="宋体" w:cs="Times New Roman"/>
          <w:sz w:val="21"/>
          <w:szCs w:val="21"/>
        </w:rPr>
        <w:t>: Xu Shilei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b/>
          <w:sz w:val="21"/>
          <w:szCs w:val="21"/>
        </w:rPr>
      </w:pPr>
      <w:r>
        <w:rPr>
          <w:rFonts w:ascii="Times New Roman" w:hAnsi="Times New Roman" w:eastAsia="宋体" w:cs="Times New Roman"/>
          <w:b/>
          <w:sz w:val="21"/>
          <w:szCs w:val="21"/>
        </w:rPr>
        <w:t>§6  THEOREM</w:t>
      </w:r>
      <w:r>
        <w:rPr>
          <w:rFonts w:hint="eastAsia" w:ascii="宋体" w:hAnsi="宋体" w:eastAsia="宋体" w:cs="宋体"/>
          <w:b/>
          <w:sz w:val="21"/>
          <w:szCs w:val="21"/>
        </w:rPr>
        <w:t>Ⅱ</w:t>
      </w:r>
    </w:p>
    <w:p>
      <w:pPr>
        <w:rPr>
          <w:rFonts w:hint="eastAsia"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Kant says here that the </w:t>
      </w:r>
      <w:r>
        <w:rPr>
          <w:rFonts w:ascii="Times New Roman" w:hAnsi="Times New Roman" w:eastAsia="宋体" w:cs="Times New Roman"/>
          <w:i/>
          <w:iCs/>
          <w:sz w:val="21"/>
          <w:szCs w:val="21"/>
        </w:rPr>
        <w:t>legislative form</w:t>
      </w:r>
      <w:r>
        <w:rPr>
          <w:rFonts w:ascii="Times New Roman" w:hAnsi="Times New Roman" w:eastAsia="宋体" w:cs="Times New Roman"/>
          <w:sz w:val="21"/>
          <w:szCs w:val="21"/>
        </w:rPr>
        <w:t xml:space="preserve"> is the sole determining basis of the will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. Because the will is independent from empirical conditions whereas the matter of a practical law can only given empirically.So the 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lang w:val="en-US" w:eastAsia="zh-CN"/>
        </w:rPr>
        <w:t xml:space="preserve">form </w:t>
      </w:r>
      <w:r>
        <w:rPr>
          <w:rFonts w:hint="eastAsia" w:ascii="Times New Roman" w:hAnsi="Times New Roman" w:eastAsia="宋体" w:cs="Times New Roman"/>
          <w:i w:val="0"/>
          <w:iCs w:val="0"/>
          <w:sz w:val="21"/>
          <w:szCs w:val="21"/>
          <w:lang w:val="en-US" w:eastAsia="zh-CN"/>
        </w:rPr>
        <w:t>is the only answer.</w:t>
      </w:r>
    </w:p>
    <w:p>
      <w:pPr>
        <w:rPr>
          <w:rFonts w:ascii="Times New Roman" w:hAnsi="Times New Roman" w:eastAsia="宋体" w:cs="Times New Roman"/>
          <w:b/>
          <w:sz w:val="21"/>
          <w:szCs w:val="21"/>
        </w:rPr>
      </w:pPr>
      <w:r>
        <w:rPr>
          <w:rFonts w:ascii="Times New Roman" w:hAnsi="Times New Roman" w:eastAsia="宋体" w:cs="Times New Roman"/>
          <w:b/>
          <w:sz w:val="21"/>
          <w:szCs w:val="21"/>
        </w:rPr>
        <w:t>Comment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Kant asks from what our cognition of the practical starts. There are two possible alternatives, </w:t>
      </w:r>
      <w:r>
        <w:rPr>
          <w:rFonts w:ascii="Times New Roman" w:hAnsi="Times New Roman" w:eastAsia="宋体" w:cs="Times New Roman"/>
          <w:i/>
          <w:sz w:val="21"/>
          <w:szCs w:val="21"/>
        </w:rPr>
        <w:t>freedom</w:t>
      </w:r>
      <w:r>
        <w:rPr>
          <w:rFonts w:ascii="Times New Roman" w:hAnsi="Times New Roman" w:eastAsia="宋体" w:cs="Times New Roman"/>
          <w:sz w:val="21"/>
          <w:szCs w:val="21"/>
        </w:rPr>
        <w:t xml:space="preserve"> and </w:t>
      </w:r>
      <w:r>
        <w:rPr>
          <w:rFonts w:ascii="Times New Roman" w:hAnsi="Times New Roman" w:eastAsia="宋体" w:cs="Times New Roman"/>
          <w:i/>
          <w:sz w:val="21"/>
          <w:szCs w:val="21"/>
        </w:rPr>
        <w:t>moral law</w:t>
      </w:r>
      <w:r>
        <w:rPr>
          <w:rFonts w:ascii="Times New Roman" w:hAnsi="Times New Roman" w:eastAsia="宋体" w:cs="Times New Roman"/>
          <w:sz w:val="21"/>
          <w:szCs w:val="21"/>
        </w:rPr>
        <w:t xml:space="preserve">. However, he says, the former is actually impossible, for we cannot become conscious of it </w:t>
      </w:r>
      <w:r>
        <w:rPr>
          <w:rFonts w:ascii="Times New Roman" w:hAnsi="Times New Roman" w:eastAsia="宋体" w:cs="Times New Roman"/>
          <w:i/>
          <w:sz w:val="21"/>
          <w:szCs w:val="21"/>
        </w:rPr>
        <w:t>directly</w:t>
      </w:r>
      <w:r>
        <w:rPr>
          <w:rFonts w:ascii="Times New Roman" w:hAnsi="Times New Roman" w:eastAsia="宋体" w:cs="Times New Roman"/>
          <w:sz w:val="21"/>
          <w:szCs w:val="21"/>
        </w:rPr>
        <w:t xml:space="preserve">. So the latter is the only answer, namely, it’s moral law that </w:t>
      </w:r>
      <w:r>
        <w:rPr>
          <w:rFonts w:ascii="Times New Roman" w:hAnsi="Times New Roman" w:eastAsia="宋体" w:cs="Times New Roman"/>
          <w:i/>
          <w:sz w:val="21"/>
          <w:szCs w:val="21"/>
        </w:rPr>
        <w:t>first</w:t>
      </w:r>
      <w:r>
        <w:rPr>
          <w:rFonts w:ascii="Times New Roman" w:hAnsi="Times New Roman" w:eastAsia="宋体" w:cs="Times New Roman"/>
          <w:sz w:val="21"/>
          <w:szCs w:val="21"/>
        </w:rPr>
        <w:t xml:space="preserve"> offers itself to us. 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Then he goes further to the question of whether the consciousness of that moral law is possible. The answer is positive, because we can </w:t>
      </w:r>
      <w:bookmarkStart w:id="0" w:name="_GoBack"/>
      <w:bookmarkEnd w:id="0"/>
      <w:r>
        <w:rPr>
          <w:rFonts w:ascii="Times New Roman" w:hAnsi="Times New Roman" w:eastAsia="宋体" w:cs="Times New Roman"/>
          <w:sz w:val="21"/>
          <w:szCs w:val="21"/>
        </w:rPr>
        <w:t>become conscious of the necessity which is prescribed to us by reason and the separating of all empirical conditions.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b/>
          <w:sz w:val="21"/>
          <w:szCs w:val="21"/>
        </w:rPr>
      </w:pPr>
      <w:r>
        <w:rPr>
          <w:rFonts w:ascii="Times New Roman" w:hAnsi="Times New Roman" w:eastAsia="宋体" w:cs="Times New Roman"/>
          <w:b/>
          <w:sz w:val="21"/>
          <w:szCs w:val="21"/>
        </w:rPr>
        <w:t>§7   BASIC LAW OF PURE PRATICAL REASON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Here the basic law means ,“So act that the maxim of your will could always hold at the same time as a principle of a universal legislation”.</w:t>
      </w:r>
    </w:p>
    <w:p>
      <w:pPr>
        <w:rPr>
          <w:rFonts w:ascii="Times New Roman" w:hAnsi="Times New Roman" w:eastAsia="宋体" w:cs="Times New Roman"/>
          <w:b/>
          <w:sz w:val="21"/>
          <w:szCs w:val="21"/>
        </w:rPr>
      </w:pPr>
      <w:r>
        <w:rPr>
          <w:rFonts w:ascii="Times New Roman" w:hAnsi="Times New Roman" w:eastAsia="宋体" w:cs="Times New Roman"/>
          <w:b/>
          <w:sz w:val="21"/>
          <w:szCs w:val="21"/>
        </w:rPr>
        <w:t>Comment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There is a presupposition of Pure geometry, that is, one </w:t>
      </w:r>
      <w:r>
        <w:rPr>
          <w:rFonts w:ascii="Times New Roman" w:hAnsi="Times New Roman" w:eastAsia="宋体" w:cs="Times New Roman"/>
          <w:i/>
          <w:sz w:val="21"/>
          <w:szCs w:val="21"/>
        </w:rPr>
        <w:t>can</w:t>
      </w:r>
      <w:r>
        <w:rPr>
          <w:rFonts w:ascii="Times New Roman" w:hAnsi="Times New Roman" w:eastAsia="宋体" w:cs="Times New Roman"/>
          <w:sz w:val="21"/>
          <w:szCs w:val="21"/>
        </w:rPr>
        <w:t xml:space="preserve"> do something if it were demanded that one </w:t>
      </w:r>
      <w:r>
        <w:rPr>
          <w:rFonts w:ascii="Times New Roman" w:hAnsi="Times New Roman" w:eastAsia="宋体" w:cs="Times New Roman"/>
          <w:i/>
          <w:sz w:val="21"/>
          <w:szCs w:val="21"/>
        </w:rPr>
        <w:t>should</w:t>
      </w:r>
      <w:r>
        <w:rPr>
          <w:rFonts w:ascii="Times New Roman" w:hAnsi="Times New Roman" w:eastAsia="宋体" w:cs="Times New Roman"/>
          <w:sz w:val="21"/>
          <w:szCs w:val="21"/>
        </w:rPr>
        <w:t xml:space="preserve"> do it.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And presuppositions of this kind are practical rules under a problematic condition of the will.</w:t>
      </w:r>
    </w:p>
    <w:p>
      <w:pPr>
        <w:rPr>
          <w:rFonts w:hint="eastAsia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On the contrary, </w:t>
      </w:r>
      <w:r>
        <w:rPr>
          <w:rFonts w:ascii="Times New Roman" w:hAnsi="Times New Roman" w:eastAsia="宋体" w:cs="Times New Roman"/>
          <w:sz w:val="21"/>
          <w:szCs w:val="21"/>
        </w:rPr>
        <w:t xml:space="preserve">The practical rule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here </w:t>
      </w:r>
      <w:r>
        <w:rPr>
          <w:rFonts w:ascii="Times New Roman" w:hAnsi="Times New Roman" w:eastAsia="宋体" w:cs="Times New Roman"/>
          <w:sz w:val="21"/>
          <w:szCs w:val="21"/>
        </w:rPr>
        <w:t xml:space="preserve">is </w:t>
      </w:r>
      <w:r>
        <w:rPr>
          <w:rFonts w:ascii="Times New Roman" w:hAnsi="Times New Roman" w:eastAsia="宋体" w:cs="Times New Roman"/>
          <w:i/>
          <w:sz w:val="21"/>
          <w:szCs w:val="21"/>
        </w:rPr>
        <w:t>unconditional</w:t>
      </w:r>
      <w:r>
        <w:rPr>
          <w:rFonts w:ascii="Times New Roman" w:hAnsi="Times New Roman" w:eastAsia="宋体" w:cs="Times New Roman"/>
          <w:sz w:val="21"/>
          <w:szCs w:val="21"/>
        </w:rPr>
        <w:t xml:space="preserve"> and is conceived a priori as a </w:t>
      </w:r>
      <w:r>
        <w:rPr>
          <w:rFonts w:ascii="Times New Roman" w:hAnsi="Times New Roman" w:eastAsia="宋体" w:cs="Times New Roman"/>
          <w:i/>
          <w:sz w:val="21"/>
          <w:szCs w:val="21"/>
        </w:rPr>
        <w:t xml:space="preserve">categorical practical </w:t>
      </w:r>
      <w:r>
        <w:rPr>
          <w:rFonts w:ascii="Times New Roman" w:hAnsi="Times New Roman" w:eastAsia="宋体" w:cs="Times New Roman"/>
          <w:sz w:val="21"/>
          <w:szCs w:val="21"/>
        </w:rPr>
        <w:t>proposition.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The basic law is not an empirical fact but the sole fact of pure reason and is </w:t>
      </w:r>
      <w:r>
        <w:rPr>
          <w:rFonts w:ascii="Times New Roman" w:hAnsi="Times New Roman" w:eastAsia="宋体" w:cs="Times New Roman"/>
          <w:i/>
          <w:sz w:val="21"/>
          <w:szCs w:val="21"/>
        </w:rPr>
        <w:t>originally legislative</w:t>
      </w:r>
      <w:r>
        <w:rPr>
          <w:rFonts w:ascii="Times New Roman" w:hAnsi="Times New Roman" w:eastAsia="宋体" w:cs="Times New Roman"/>
          <w:sz w:val="21"/>
          <w:szCs w:val="21"/>
        </w:rPr>
        <w:t>.</w:t>
      </w:r>
    </w:p>
    <w:p>
      <w:pPr>
        <w:rPr>
          <w:rFonts w:ascii="Times New Roman" w:hAnsi="Times New Roman" w:eastAsia="宋体" w:cs="Times New Roman"/>
          <w:b/>
          <w:bCs/>
          <w:sz w:val="21"/>
          <w:szCs w:val="21"/>
        </w:rPr>
      </w:pPr>
      <w:r>
        <w:rPr>
          <w:rFonts w:ascii="Times New Roman" w:hAnsi="Times New Roman" w:eastAsia="宋体" w:cs="Times New Roman"/>
          <w:b/>
          <w:bCs/>
          <w:sz w:val="21"/>
          <w:szCs w:val="21"/>
        </w:rPr>
        <w:t>COROLLARY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Pure reason is practical by itself alone and gives a universal law, namely, the </w:t>
      </w:r>
      <w:r>
        <w:rPr>
          <w:rFonts w:ascii="Times New Roman" w:hAnsi="Times New Roman" w:eastAsia="宋体" w:cs="Times New Roman"/>
          <w:i/>
          <w:sz w:val="21"/>
          <w:szCs w:val="21"/>
        </w:rPr>
        <w:t>moral law</w:t>
      </w:r>
      <w:r>
        <w:rPr>
          <w:rFonts w:ascii="Times New Roman" w:hAnsi="Times New Roman" w:eastAsia="宋体" w:cs="Times New Roman"/>
          <w:sz w:val="21"/>
          <w:szCs w:val="21"/>
        </w:rPr>
        <w:t>.</w:t>
      </w:r>
    </w:p>
    <w:p>
      <w:pPr>
        <w:rPr>
          <w:rFonts w:hint="eastAsia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</w:rPr>
        <w:t>COMMENT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i/>
          <w:sz w:val="21"/>
          <w:szCs w:val="21"/>
        </w:rPr>
        <w:t>Reason</w:t>
      </w:r>
      <w:r>
        <w:rPr>
          <w:rFonts w:ascii="Times New Roman" w:hAnsi="Times New Roman" w:eastAsia="宋体" w:cs="Times New Roman"/>
          <w:sz w:val="21"/>
          <w:szCs w:val="21"/>
        </w:rPr>
        <w:t xml:space="preserve"> always holds the will’s maxim in an action up to the </w:t>
      </w:r>
      <w:r>
        <w:rPr>
          <w:rFonts w:ascii="Times New Roman" w:hAnsi="Times New Roman" w:eastAsia="宋体" w:cs="Times New Roman"/>
          <w:i/>
          <w:sz w:val="21"/>
          <w:szCs w:val="21"/>
        </w:rPr>
        <w:t>pure will</w:t>
      </w:r>
      <w:r>
        <w:rPr>
          <w:rFonts w:ascii="Times New Roman" w:hAnsi="Times New Roman" w:eastAsia="宋体" w:cs="Times New Roman"/>
          <w:sz w:val="21"/>
          <w:szCs w:val="21"/>
        </w:rPr>
        <w:t xml:space="preserve">, regardless of </w:t>
      </w:r>
      <w:r>
        <w:rPr>
          <w:rFonts w:ascii="Times New Roman" w:hAnsi="Times New Roman" w:eastAsia="宋体" w:cs="Times New Roman"/>
          <w:i/>
          <w:sz w:val="21"/>
          <w:szCs w:val="21"/>
        </w:rPr>
        <w:t>inclination</w:t>
      </w:r>
      <w:r>
        <w:rPr>
          <w:rFonts w:ascii="Times New Roman" w:hAnsi="Times New Roman" w:eastAsia="宋体" w:cs="Times New Roman"/>
          <w:sz w:val="21"/>
          <w:szCs w:val="21"/>
        </w:rPr>
        <w:t>. It also declares the principle of morality to be a law for all rational beings, including the</w:t>
      </w:r>
      <w:r>
        <w:rPr>
          <w:rFonts w:ascii="Times New Roman" w:hAnsi="Times New Roman" w:eastAsia="宋体" w:cs="Times New Roman"/>
          <w:i/>
          <w:sz w:val="21"/>
          <w:szCs w:val="21"/>
        </w:rPr>
        <w:t xml:space="preserve"> infinite being</w:t>
      </w:r>
      <w:r>
        <w:rPr>
          <w:rFonts w:ascii="Times New Roman" w:hAnsi="Times New Roman" w:eastAsia="宋体" w:cs="Times New Roman"/>
          <w:sz w:val="21"/>
          <w:szCs w:val="21"/>
        </w:rPr>
        <w:t xml:space="preserve"> as supreme intelligence. And the moral law is a categorical imperative for finite beings. 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b/>
          <w:sz w:val="21"/>
          <w:szCs w:val="21"/>
        </w:rPr>
        <w:t xml:space="preserve">§8  THEOREM </w:t>
      </w:r>
      <w:r>
        <w:rPr>
          <w:rFonts w:hint="eastAsia" w:ascii="宋体" w:hAnsi="宋体" w:eastAsia="宋体" w:cs="宋体"/>
          <w:b/>
          <w:sz w:val="21"/>
          <w:szCs w:val="21"/>
        </w:rPr>
        <w:t>Ⅳ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Here, Kant emphasizes the importance of </w:t>
      </w:r>
      <w:r>
        <w:rPr>
          <w:rFonts w:ascii="Times New Roman" w:hAnsi="Times New Roman" w:eastAsia="宋体" w:cs="Times New Roman"/>
          <w:i/>
          <w:sz w:val="21"/>
          <w:szCs w:val="21"/>
        </w:rPr>
        <w:t>autonomy</w:t>
      </w:r>
      <w:r>
        <w:rPr>
          <w:rFonts w:ascii="Times New Roman" w:hAnsi="Times New Roman" w:eastAsia="宋体" w:cs="Times New Roman"/>
          <w:sz w:val="21"/>
          <w:szCs w:val="21"/>
        </w:rPr>
        <w:t xml:space="preserve"> and take it as the sole principle of all </w:t>
      </w:r>
      <w:r>
        <w:rPr>
          <w:rFonts w:ascii="Times New Roman" w:hAnsi="Times New Roman" w:eastAsia="宋体" w:cs="Times New Roman"/>
          <w:i/>
          <w:sz w:val="21"/>
          <w:szCs w:val="21"/>
        </w:rPr>
        <w:t>moral laws</w:t>
      </w:r>
      <w:r>
        <w:rPr>
          <w:rFonts w:ascii="Times New Roman" w:hAnsi="Times New Roman" w:eastAsia="宋体" w:cs="Times New Roman"/>
          <w:sz w:val="21"/>
          <w:szCs w:val="21"/>
        </w:rPr>
        <w:t xml:space="preserve"> and of the </w:t>
      </w:r>
      <w:r>
        <w:rPr>
          <w:rFonts w:ascii="Times New Roman" w:hAnsi="Times New Roman" w:eastAsia="宋体" w:cs="Times New Roman"/>
          <w:i/>
          <w:sz w:val="21"/>
          <w:szCs w:val="21"/>
        </w:rPr>
        <w:t>duties</w:t>
      </w:r>
      <w:r>
        <w:rPr>
          <w:rFonts w:ascii="Times New Roman" w:hAnsi="Times New Roman" w:eastAsia="宋体" w:cs="Times New Roman"/>
          <w:sz w:val="21"/>
          <w:szCs w:val="21"/>
        </w:rPr>
        <w:t xml:space="preserve"> conforming to them. As for </w:t>
      </w:r>
      <w:r>
        <w:rPr>
          <w:rFonts w:ascii="Times New Roman" w:hAnsi="Times New Roman" w:eastAsia="宋体" w:cs="Times New Roman"/>
          <w:i/>
          <w:sz w:val="21"/>
          <w:szCs w:val="21"/>
        </w:rPr>
        <w:t>heteronomy</w:t>
      </w:r>
      <w:r>
        <w:rPr>
          <w:rFonts w:ascii="Times New Roman" w:hAnsi="Times New Roman" w:eastAsia="宋体" w:cs="Times New Roman"/>
          <w:sz w:val="21"/>
          <w:szCs w:val="21"/>
        </w:rPr>
        <w:t>, he takes it as an opposition to the principle of obligation and to the morality of the will.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Another important point is, </w:t>
      </w:r>
      <w:r>
        <w:rPr>
          <w:rFonts w:ascii="Times New Roman" w:hAnsi="Times New Roman" w:eastAsia="宋体" w:cs="Times New Roman"/>
          <w:i/>
          <w:sz w:val="21"/>
          <w:szCs w:val="21"/>
        </w:rPr>
        <w:t>independence</w:t>
      </w:r>
      <w:r>
        <w:rPr>
          <w:rFonts w:ascii="Times New Roman" w:hAnsi="Times New Roman" w:eastAsia="宋体" w:cs="Times New Roman"/>
          <w:sz w:val="21"/>
          <w:szCs w:val="21"/>
        </w:rPr>
        <w:t xml:space="preserve"> is freedom in the </w:t>
      </w:r>
      <w:r>
        <w:rPr>
          <w:rFonts w:ascii="Times New Roman" w:hAnsi="Times New Roman" w:eastAsia="宋体" w:cs="Times New Roman"/>
          <w:i/>
          <w:sz w:val="21"/>
          <w:szCs w:val="21"/>
        </w:rPr>
        <w:t>negative</w:t>
      </w:r>
      <w:r>
        <w:rPr>
          <w:rFonts w:ascii="Times New Roman" w:hAnsi="Times New Roman" w:eastAsia="宋体" w:cs="Times New Roman"/>
          <w:sz w:val="21"/>
          <w:szCs w:val="21"/>
        </w:rPr>
        <w:t xml:space="preserve"> meaning, whereas the </w:t>
      </w:r>
      <w:r>
        <w:rPr>
          <w:rFonts w:ascii="Times New Roman" w:hAnsi="Times New Roman" w:eastAsia="宋体" w:cs="Times New Roman"/>
          <w:i/>
          <w:sz w:val="21"/>
          <w:szCs w:val="21"/>
        </w:rPr>
        <w:t>legislation</w:t>
      </w:r>
      <w:r>
        <w:rPr>
          <w:rFonts w:ascii="Times New Roman" w:hAnsi="Times New Roman" w:eastAsia="宋体" w:cs="Times New Roman"/>
          <w:sz w:val="21"/>
          <w:szCs w:val="21"/>
        </w:rPr>
        <w:t xml:space="preserve"> is freedom in the </w:t>
      </w:r>
      <w:r>
        <w:rPr>
          <w:rFonts w:ascii="Times New Roman" w:hAnsi="Times New Roman" w:eastAsia="宋体" w:cs="Times New Roman"/>
          <w:i/>
          <w:sz w:val="21"/>
          <w:szCs w:val="21"/>
        </w:rPr>
        <w:t>positive</w:t>
      </w:r>
      <w:r>
        <w:rPr>
          <w:rFonts w:ascii="Times New Roman" w:hAnsi="Times New Roman" w:eastAsia="宋体" w:cs="Times New Roman"/>
          <w:sz w:val="21"/>
          <w:szCs w:val="21"/>
        </w:rPr>
        <w:t xml:space="preserve"> meaning. And practical reason means the</w:t>
      </w:r>
      <w:r>
        <w:rPr>
          <w:rFonts w:ascii="Times New Roman" w:hAnsi="Times New Roman" w:eastAsia="宋体" w:cs="Times New Roman"/>
          <w:i/>
          <w:sz w:val="21"/>
          <w:szCs w:val="21"/>
        </w:rPr>
        <w:t xml:space="preserve"> autonomy </w:t>
      </w:r>
      <w:r>
        <w:rPr>
          <w:rFonts w:ascii="Times New Roman" w:hAnsi="Times New Roman" w:eastAsia="宋体" w:cs="Times New Roman"/>
          <w:sz w:val="21"/>
          <w:szCs w:val="21"/>
        </w:rPr>
        <w:t>of pure practical reason.</w:t>
      </w:r>
    </w:p>
    <w:p>
      <w:pPr>
        <w:rPr>
          <w:rFonts w:hint="eastAsia" w:ascii="Times New Roman" w:hAnsi="Times New Roman" w:cs="Times New Roman"/>
          <w:sz w:val="21"/>
          <w:szCs w:val="21"/>
        </w:rPr>
      </w:pPr>
    </w:p>
    <w:sectPr>
      <w:type w:val="continuous"/>
      <w:pgSz w:w="15840" w:h="12240" w:orient="landscape"/>
      <w:pgMar w:top="1440" w:right="1440" w:bottom="1440" w:left="1440" w:header="708" w:footer="708" w:gutter="0"/>
      <w:cols w:space="708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52" w:lineRule="auto"/>
      <w:jc w:val="center"/>
      <w:rPr>
        <w:rFonts w:ascii="Calibri" w:hAnsi="Calibri" w:eastAsia="宋体" w:cs="Times New Roman"/>
        <w:sz w:val="21"/>
        <w:szCs w:val="21"/>
      </w:rPr>
    </w:pPr>
    <w:r>
      <w:rPr>
        <w:rFonts w:ascii="Calibri" w:hAnsi="Calibri" w:eastAsia="宋体" w:cs="Times New Roman"/>
        <w:sz w:val="21"/>
        <w:szCs w:val="21"/>
      </w:rPr>
      <w:t>Kant’s Practical Philosophy and the modern Political Philosophy</w:t>
    </w:r>
  </w:p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EF"/>
    <w:rsid w:val="000116D7"/>
    <w:rsid w:val="00025935"/>
    <w:rsid w:val="00064496"/>
    <w:rsid w:val="000C6984"/>
    <w:rsid w:val="000F3B5B"/>
    <w:rsid w:val="00173DBA"/>
    <w:rsid w:val="002F438F"/>
    <w:rsid w:val="00300843"/>
    <w:rsid w:val="00354A01"/>
    <w:rsid w:val="00373FF9"/>
    <w:rsid w:val="004706F5"/>
    <w:rsid w:val="004B3A65"/>
    <w:rsid w:val="004C3910"/>
    <w:rsid w:val="004F37D2"/>
    <w:rsid w:val="00534668"/>
    <w:rsid w:val="0057585B"/>
    <w:rsid w:val="005C4A3D"/>
    <w:rsid w:val="005D64AC"/>
    <w:rsid w:val="005E76BA"/>
    <w:rsid w:val="006127A1"/>
    <w:rsid w:val="006B2455"/>
    <w:rsid w:val="006E78F1"/>
    <w:rsid w:val="00711A32"/>
    <w:rsid w:val="00764ED6"/>
    <w:rsid w:val="007B45D8"/>
    <w:rsid w:val="007D1D71"/>
    <w:rsid w:val="007D6173"/>
    <w:rsid w:val="007F0FCA"/>
    <w:rsid w:val="00813489"/>
    <w:rsid w:val="008A6DE1"/>
    <w:rsid w:val="00904CEF"/>
    <w:rsid w:val="009252A5"/>
    <w:rsid w:val="00A9797D"/>
    <w:rsid w:val="00AA250B"/>
    <w:rsid w:val="00AC518E"/>
    <w:rsid w:val="00AF7DAF"/>
    <w:rsid w:val="00B7119D"/>
    <w:rsid w:val="00BE36DD"/>
    <w:rsid w:val="00C31998"/>
    <w:rsid w:val="00C33CF4"/>
    <w:rsid w:val="00C37706"/>
    <w:rsid w:val="00CC1505"/>
    <w:rsid w:val="00D71EA0"/>
    <w:rsid w:val="00E0422B"/>
    <w:rsid w:val="00E8755C"/>
    <w:rsid w:val="00E9337E"/>
    <w:rsid w:val="050C0CA3"/>
    <w:rsid w:val="16FF069A"/>
    <w:rsid w:val="1F5904CE"/>
    <w:rsid w:val="2C08352B"/>
    <w:rsid w:val="428049E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页眉 字符"/>
    <w:basedOn w:val="4"/>
    <w:link w:val="3"/>
    <w:qFormat/>
    <w:uiPriority w:val="99"/>
  </w:style>
  <w:style w:type="character" w:customStyle="1" w:styleId="7">
    <w:name w:val="页脚 字符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345</Words>
  <Characters>1969</Characters>
  <Lines>16</Lines>
  <Paragraphs>4</Paragraphs>
  <ScaleCrop>false</ScaleCrop>
  <LinksUpToDate>false</LinksUpToDate>
  <CharactersWithSpaces>2310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2016-10-01T15:34:00Z</dcterms:created>
  <dc:creator>韩煦</dc:creator>
  <cp:lastModifiedBy>chenjq</cp:lastModifiedBy>
  <dcterms:modified xsi:type="dcterms:W3CDTF">2016-10-21T08:33:54Z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