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XXX University</w:t>
      </w:r>
    </w:p>
    <w:p>
      <w:pPr>
        <w:spacing w:after="400" w:before="100"/>
        <w:jc w:val="center"/>
      </w:pPr>
      <w:r>
        <w:rPr>
          <w:rFonts w:ascii="Times New Roman" w:eastAsia="SimSun"/>
          <w:sz w:val="20"/>
          <w:szCs w:val="20"/>
        </w:rPr>
        <w:t xml:space="preserve">*Corresponding author: [advisor email]</w:t>
      </w:r>
    </w:p>
    <w:p>
      <w:pPr>
        <w:spacing w:after="200" w:before="200" w:line="240"/>
        <w:jc w:val="center"/>
      </w:pPr>
      <w:r>
        <w:rPr>
          <w:rFonts w:ascii="Times New Roman" w:eastAsia="SimSun"/>
          <w:color w:val="000000"/>
          <w:sz w:val="24"/>
          <w:szCs w:val="24"/>
        </w:rPr>
        <w:t xml:space="default"/>
      </w: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Sequential, Random, Belief-Greedy, DQN, and PPO baselines across Easy/Medium/Hard difficulties, five independent seeds, 1000 paired evaluation episodes per condition, and Holm-corrected paired statistical tests. Three findings emerge. First, when a calibrated belief map is directly observable, reactive methods dominate (Belief-Greedy SR=0.96, DQN SR=0.92), and MuZero underperforms (SR=0.61). Second, under a blind-search regime where the belief is not observable, MuZero significantly outperforms all learned baselines (SR=0.68 vs DQN 0.33, PPO 0.30; p&lt;0.001 for all three difficulties), with MCTS contributing +0.18 and GRU memory +0.07 in ablations. Third, Belief-Greedy catastrophically fails under biased priors (SR=0.000 on Hard) while sequential scanning is robust. These results delineate the conditions under which MuZero-style planning pays off: planning matters when observation structure degrades belief sufficiency.</w:t>
      </w:r>
    </w:p>
    <w:p>
      <w:pPr>
        <w:spacing w:before="200" w:line="24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keepNext/>
        <w:spacing w:after="120" w:before="240" w:line="280"/>
        <w:jc w:val="center"/>
      </w:pPr>
      <w:r>
        <w:rPr>
          <w:rFonts w:ascii="Times New Roman" w:eastAsia="SimSun"/>
          <w:b/>
          <w:bCs/>
          <w:color w:val="000000"/>
          <w:sz w:val="32"/>
          <w:szCs w:val="32"/>
        </w:rPr>
        <w:t xml:space="preserve">1. Introduction</w:t>
      </w:r>
    </w:p>
    <w:p>
      <w:pPr>
        <w:pStyle w:val="Heading2"/>
        <w:keepNext/>
        <w:spacing w:after="100" w:before="20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after="20" w:before="80"/>
        <w:jc w:val="center"/>
      </w:pPr>
      <w:r>
        <w:drawing>
          <wp:inline distT="0" distB="0" distL="0" distR="0">
            <wp:extent cx="50292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36004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1-1 The adaptive cognitive sonar closed-loop: (a) four-stage transmit-observe-cognize-adapt cycle, (b) sector grid with belief heatmap and current beam, (c) Swerling-I detection model</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20" w:before="80"/>
        <w:jc w:val="center"/>
      </w:pPr>
      <w:r>
        <w:drawing>
          <wp:inline distT="0" distB="0" distL="0" distR="0">
            <wp:extent cx="5029200" cy="3781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7814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1-2 The active sonar search scenario: (a) sector grid + belief heatmap, (b) Swerling-I detection model, (c) beam directivity, (d) belief evolution over pings</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keepNext/>
        <w:spacing w:after="100" w:before="20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keepNext/>
        <w:spacing w:after="100" w:before="20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keepNext/>
        <w:spacing w:after="100" w:before="20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five baselines. (2) We provide a boundary characterization — we identify the observation-regime conditions under which model-based planning outperforms reactive policies, and show that reactive methods dominate when belief is directly observable. (3) We demonstrate through ablations that MuZero's advantage in blind search comes from MCTS lookahead and GRU memory,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keepNext/>
        <w:spacing w:after="120" w:before="240" w:line="280"/>
        <w:jc w:val="center"/>
      </w:pPr>
      <w:r>
        <w:rPr>
          <w:rFonts w:ascii="Times New Roman" w:eastAsia="SimSun"/>
          <w:b/>
          <w:bCs/>
          <w:color w:val="000000"/>
          <w:sz w:val="32"/>
          <w:szCs w:val="32"/>
        </w:rPr>
        <w:t xml:space="preserve">2. Methods</w:t>
      </w:r>
    </w:p>
    <w:p>
      <w:pPr>
        <w:spacing w:after="20" w:before="8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keepNext/>
        <w:spacing w:after="100" w:before="20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30" w:before="30"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30" w:before="30"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30" w:before="30"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20" w:before="8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keepNext/>
        <w:spacing w:after="100" w:before="20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30" w:before="30"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30" w:before="30"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30" w:before="30"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30" w:before="30"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30" w:before="30"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30" w:before="30"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30" w:before="30"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30" w:before="30"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30" w:before="30" w:line="240"/>
        <w:jc w:val="center"/>
      </w:pPr>
      <w:r>
        <w:t xml:space="preserve">	</w:t>
      </w:r>
      <m:oMath>
        <m:r>
          <m:t>P(o=1 | x=a) = P_D,   P(o=1 | x≠a) = P_FA</m:t>
        </m:r>
      </m:oMath>
      <w:r>
        <w:t xml:space="preserve">	(14)</w:t>
      </w:r>
    </w:p>
    <w:p>
      <w:pPr>
        <w:pStyle w:val="Heading2"/>
        <w:keepNext/>
        <w:spacing w:after="100" w:before="20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30" w:before="30"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30" w:before="30" w:line="240"/>
        <w:jc w:val="center"/>
      </w:pPr>
      <w:r>
        <w:t xml:space="preserve">	</w:t>
      </w:r>
      <m:oMath>
        <m:r>
          <m:t>r_t = R_hit · 1{o_t=1} − λ_s −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20" w:before="8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Dispersed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Biased (wrong sector)</w:t>
            </w:r>
          </w:p>
        </w:tc>
      </w:tr>
    </w:tbl>
    <w:p>
      <w:pPr>
        <w:spacing w:after="6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keepNext/>
        <w:spacing w:after="100" w:before="20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30" w:before="30"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30" w:before="30"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30" w:before="30" w:line="240"/>
        <w:jc w:val="center"/>
      </w:pPr>
      <w:r>
        <w:t xml:space="preserve">	</w:t>
      </w:r>
      <m:oMath>
        <m:r>
          <m:t>(p_t^k, v_t^k) = f_θ(h_t^k)</m:t>
        </m:r>
      </m:oMath>
      <w:r>
        <w:t xml:space="preserve">	(19)</w:t>
      </w:r>
    </w:p>
    <w:p>
      <w:pPr>
        <w:spacing w:after="20" w:before="8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20" w:before="8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action prob.</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Value/reward head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Linear</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scalar regression</w:t>
            </w:r>
          </w:p>
        </w:tc>
      </w:tr>
    </w:tbl>
    <w:p>
      <w:pPr>
        <w:spacing w:after="60"/>
      </w:pPr>
    </w:p>
    <w:p>
      <w:pPr>
        <w:pStyle w:val="Heading2"/>
        <w:keepNext/>
        <w:spacing w:after="100" w:before="20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30" w:before="30"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30" w:before="30"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30" w:before="30"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30" w:before="30"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keepNext/>
        <w:spacing w:after="100" w:before="20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30" w:before="30" w:line="240"/>
        <w:jc w:val="center"/>
      </w:pPr>
      <w:r>
        <w:t xml:space="preserve">	</w:t>
      </w:r>
      <m:oMath>
        <m:r>
          <m:t>a* = arg max_a ( Q(s,a) + U(s,a) )</m:t>
        </m:r>
      </m:oMath>
      <w:r>
        <w:t xml:space="preserve">	(24)</w:t>
      </w:r>
    </w:p>
    <w:p>
      <w:pPr>
        <w:tabs>
          <w:tab w:val="center" w:pos="4500"/>
          <w:tab w:val="right" w:pos="9000"/>
        </w:tabs>
        <w:spacing w:after="30" w:before="30"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30" w:before="30"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30" w:before="30"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We treat MCTS simulation count (25/50/100/200) and planning depth (1/3/5/10) as ablation variables to analyze the performance-computation tradeoff.</w:t>
      </w:r>
    </w:p>
    <w:p>
      <w:pPr>
        <w:pStyle w:val="Heading2"/>
        <w:keepNext/>
        <w:spacing w:after="100" w:before="20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five baselines. Sequential scans sectors in fixed cyclic order. Random samples uniformly at each step. Belief-Greedy picks the sector with the highest current posterior probability:</w:t>
      </w:r>
    </w:p>
    <w:p>
      <w:pPr>
        <w:tabs>
          <w:tab w:val="center" w:pos="4500"/>
          <w:tab w:val="right" w:pos="9000"/>
        </w:tabs>
        <w:spacing w:after="30" w:before="30"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30" w:before="30"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30" w:before="30" w:line="240"/>
        <w:jc w:val="center"/>
      </w:pPr>
      <w:r>
        <w:t xml:space="preserve">	</w:t>
      </w:r>
      <m:oMath>
        <m:r>
          <m:t>r_t(θ) = π_θ(a_t|s_t) / π_{θ_old}(a_t|s_t)</m:t>
        </m:r>
      </m:oMath>
      <w:r>
        <w:t xml:space="preserve">	(29)</w:t>
      </w:r>
    </w:p>
    <w:p>
      <w:pPr>
        <w:tabs>
          <w:tab w:val="center" w:pos="4500"/>
          <w:tab w:val="right" w:pos="9000"/>
        </w:tabs>
        <w:spacing w:after="30" w:before="30"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keepNext/>
        <w:spacing w:after="20" w:before="80"/>
        <w:jc w:val="center"/>
      </w:pPr>
      <w:r>
        <w:rPr>
          <w:rFonts w:ascii="Times New Roman" w:eastAsia="SimSun"/>
          <w:b/>
          <w:bCs/>
          <w:sz w:val="21"/>
          <w:szCs w:val="21"/>
        </w:rPr>
        <w:t xml:space="preserve">Table 3-3 Method comparison (adopted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Learned latent</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Explicit (MCTS)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r>
    </w:tbl>
    <w:p>
      <w:pPr>
        <w:spacing w:after="60"/>
      </w:pPr>
    </w:p>
    <w:p>
      <w:pPr>
        <w:pStyle w:val="Heading2"/>
        <w:keepNext/>
        <w:spacing w:after="100" w:before="200" w:line="280"/>
      </w:pPr>
      <w:r>
        <w:rPr>
          <w:rFonts w:ascii="Times New Roman" w:eastAsia="SimSun"/>
          <w:b/>
          <w:bCs/>
          <w:color w:val="000000"/>
          <w:sz w:val="30"/>
          <w:szCs w:val="30"/>
        </w:rPr>
        <w:t xml:space="preserve">2.8 Fair comparison protocol</w:t>
      </w:r>
    </w:p>
    <w:p>
      <w:pPr>
        <w:spacing w:after="20" w:before="8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keepNext/>
        <w:spacing w:after="100" w:before="20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keepNext/>
        <w:spacing w:after="100" w:before="20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keepNext/>
        <w:spacing w:after="120" w:before="240" w:line="280"/>
        <w:jc w:val="center"/>
      </w:pPr>
      <w:r>
        <w:rPr>
          <w:rFonts w:ascii="Times New Roman" w:eastAsia="SimSun"/>
          <w:b/>
          <w:bCs/>
          <w:color w:val="000000"/>
          <w:sz w:val="32"/>
          <w:szCs w:val="32"/>
        </w:rPr>
        <w:t xml:space="preserve">3. Results</w:t>
      </w:r>
    </w:p>
    <w:p>
      <w:pPr>
        <w:pStyle w:val="Heading2"/>
        <w:keepNext/>
        <w:spacing w:after="100" w:before="200" w:line="280"/>
      </w:pPr>
      <w:r>
        <w:rPr>
          <w:rFonts w:ascii="Times New Roman" w:eastAsia="SimSun"/>
          <w:b/>
          <w:bCs/>
          <w:color w:val="000000"/>
          <w:sz w:val="30"/>
          <w:szCs w:val="30"/>
        </w:rPr>
        <w:t xml:space="preserve">3.1 Main comparison across three observation regimes</w:t>
      </w:r>
    </w:p>
    <w:p>
      <w:pPr>
        <w:keepNext/>
        <w:spacing w:after="20" w:before="80"/>
        <w:jc w:val="center"/>
      </w:pPr>
      <w:r>
        <w:rPr>
          <w:rFonts w:ascii="Times New Roman" w:eastAsia="SimSun"/>
          <w:b/>
          <w:bCs/>
          <w:sz w:val="21"/>
          <w:szCs w:val="21"/>
        </w:rPr>
        <w:t xml:space="preserve">Table 3-1 Success rate (SR) and average detection steps (ADS) across three observation regimes (5 seeds, 1000 paired episodes per condition)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bl>
    <w:p>
      <w:pPr>
        <w:spacing w:after="6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MuZero reaches SR = 0.679 on Medium, significantly outperforming DQN (0.335) and PPO (0.303) — a gap of about two-fold. On Easy, MuZero (0.725) still trails Belief-Greedy (0.999) and Sequential (0.999), because the correct concentrated prior makes the greedy policy essentially optimal.</w:t>
      </w:r>
    </w:p>
    <w:p>
      <w:pPr>
        <w:spacing w:after="20" w:before="8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 Success rate comparison across Easy/Medium/Hard difficulties (blind search regime, V3)</w:t>
      </w:r>
    </w:p>
    <w:p>
      <w:pPr>
        <w:spacing w:after="20" w:before="8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3-2 Average detection steps comparison across difficulties (successful episodes only)</w:t>
      </w:r>
    </w:p>
    <w:p>
      <w:pPr>
        <w:pStyle w:val="Heading2"/>
        <w:keepNext/>
        <w:spacing w:after="100" w:before="20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on the blind-search regime (V3) show that MuZero's advantage over both DQN and PPO is significant in all three difficulties (Table 3-2). The effect sizes are large (Cohen's dz = 0.59–1.08). MuZero also significantly outperforms Random on Easy and Hard, while the difference against Sequential scan is negative (Sequential is information-free and sets a strong floor on SR).</w:t>
      </w:r>
    </w:p>
    <w:p>
      <w:pPr>
        <w:keepNext/>
        <w:spacing w:after="20" w:before="80"/>
        <w:jc w:val="center"/>
      </w:pPr>
      <w:r>
        <w:rPr>
          <w:rFonts w:ascii="Times New Roman" w:eastAsia="SimSun"/>
          <w:b/>
          <w:bCs/>
          <w:sz w:val="21"/>
          <w:szCs w:val="21"/>
        </w:rPr>
        <w:t xml:space="preserve">Table 3-2 Paired statistical tests (Holm-corrected) for MuZero vs baselines in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+0.247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0.594</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+0.254</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Random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+0.016</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0.142 (n.s.)</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0.046</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Sequential</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−0.220</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−0.602</w:t>
            </w:r>
          </w:p>
        </w:tc>
      </w:tr>
    </w:tbl>
    <w:p>
      <w:pPr>
        <w:spacing w:after="60"/>
      </w:pPr>
    </w:p>
    <w:p>
      <w:pPr>
        <w:pStyle w:val="Heading2"/>
        <w:keepNext/>
        <w:spacing w:after="100" w:before="200" w:line="280"/>
      </w:pPr>
      <w:r>
        <w:rPr>
          <w:rFonts w:ascii="Times New Roman" w:eastAsia="SimSun"/>
          <w:b/>
          <w:bCs/>
          <w:color w:val="000000"/>
          <w:sz w:val="30"/>
          <w:szCs w:val="30"/>
        </w:rPr>
        <w:t xml:space="preserve">3.3 Ablation studies</w:t>
      </w:r>
    </w:p>
    <w:p>
      <w:pPr>
        <w:keepNext/>
        <w:spacing w:after="20" w:before="8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(full)</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0.571</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−-0.037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Shaped reward</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+0.084</w:t>
            </w:r>
          </w:p>
        </w:tc>
      </w:tr>
    </w:tbl>
    <w:p>
      <w:pPr>
        <w:spacing w:after="60"/>
      </w:pPr>
    </w:p>
    <w:p>
      <w:pPr>
        <w:spacing w:line="240"/>
        <w:ind w:firstLine="480"/>
        <w:jc w:val="both"/>
      </w:pPr>
      <w:r>
        <w:rPr>
          <w:rFonts w:ascii="Times New Roman" w:eastAsia="SimSun"/>
          <w:color w:val="000000"/>
          <w:sz w:val="24"/>
          <w:szCs w:val="24"/>
        </w:rPr>
        <w:t xml:space="preserve">Removing MCTS (using only the policy head without search) degrades MuZero from SR = 0.679 to 0.499 (−0.180), confirming that tree search is the primary contributor to MuZero's advantage (ablation A). Removing GRU memory reduces SR to 0.608 (−0.071), and removing domain randomization reduces it to 0.642 (−0.037). Shaped (potential-based) rewards produce no significant change (+0.024), suggesting the sparse task reward is already well-shaped by the detection objective.</w:t>
      </w:r>
    </w:p>
    <w:p>
      <w:pPr>
        <w:keepNext/>
        <w:spacing w:after="20" w:before="8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0.653</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13.8</w:t>
            </w:r>
          </w:p>
        </w:tc>
      </w:tr>
    </w:tbl>
    <w:p>
      <w:pPr>
        <w:spacing w:after="60"/>
      </w:pPr>
    </w:p>
    <w:p>
      <w:pPr>
        <w:spacing w:line="240"/>
        <w:ind w:firstLine="480"/>
        <w:jc w:val="both"/>
      </w:pPr>
      <w:r>
        <w:rPr>
          <w:rFonts w:ascii="Times New Roman" w:eastAsia="SimSun"/>
          <w:color w:val="000000"/>
          <w:sz w:val="24"/>
          <w:szCs w:val="24"/>
        </w:rPr>
        <w:t xml:space="preserve">MCTS simulation count shows a clear performance-compute tradeoff (Table 3-4): 25 simulations degrade performance sharply (SR drops by −0.43 relative to 50), while increasing from 50 to 100 or 200 provides diminishing returns. The chosen default of 50 sits at a reasonable tradeoff point.</w:t>
      </w:r>
    </w:p>
    <w:p>
      <w:pPr>
        <w:keepNext/>
        <w:spacing w:after="20" w:before="8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0.546</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bl>
    <w:p>
      <w:pPr>
        <w:spacing w:after="60"/>
      </w:pPr>
    </w:p>
    <w:p>
      <w:pPr>
        <w:pStyle w:val="Heading2"/>
        <w:keepNext/>
        <w:spacing w:after="100" w:before="200" w:line="280"/>
      </w:pPr>
      <w:r>
        <w:rPr>
          <w:rFonts w:ascii="Times New Roman" w:eastAsia="SimSun"/>
          <w:b/>
          <w:bCs/>
          <w:color w:val="000000"/>
          <w:sz w:val="30"/>
          <w:szCs w:val="30"/>
        </w:rPr>
        <w:t xml:space="preserve">3.4 Out-of-distribution robustness</w:t>
      </w:r>
    </w:p>
    <w:p>
      <w:pPr>
        <w:keepNext/>
        <w:spacing w:after="20" w:before="80"/>
        <w:jc w:val="center"/>
      </w:pPr>
      <w:r>
        <w:rPr>
          <w:rFonts w:ascii="Times New Roman" w:eastAsia="SimSun"/>
          <w:b/>
          <w:bCs/>
          <w:sz w:val="21"/>
          <w:szCs w:val="21"/>
        </w:rPr>
        <w:t xml:space="preserve">Table 3-6 OOD robustness for MuZero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Condition</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(MuZero)</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Drop vs ID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ID (Medium)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OOD-SNR (+8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0.738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improved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OOD-PFA (0.15)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−4%</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OOD-N (48 sectors)</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0.181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−73%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OOD-Prior (adversarial)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0.686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OOD-Reverb (+9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r>
    </w:tbl>
    <w:p>
      <w:pPr>
        <w:spacing w:after="6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 does not rely on the belief filter. The critical failure is OOD-N (48 sectors beyond the training maximum of 32): SR drops to 0.181, a −73% degradation shared by all methods, indicating that problem-size generalization remains a common limitation.</w:t>
      </w:r>
    </w:p>
    <w:p>
      <w:pPr>
        <w:spacing w:after="20" w:before="80"/>
        <w:jc w:val="center"/>
      </w:pPr>
      <w:r>
        <w:drawing>
          <wp:inline distT="0" distB="0" distL="0" distR="0">
            <wp:extent cx="5029200" cy="2676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6765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ID vs OOD performance comparison across all methods (blind search)</w:t>
      </w:r>
    </w:p>
    <w:p>
      <w:pPr>
        <w:pStyle w:val="Heading2"/>
        <w:keepNext/>
        <w:spacing w:after="100" w:before="200" w:line="280"/>
      </w:pPr>
      <w:r>
        <w:rPr>
          <w:rFonts w:ascii="Times New Roman" w:eastAsia="SimSun"/>
          <w:b/>
          <w:bCs/>
          <w:color w:val="000000"/>
          <w:sz w:val="30"/>
          <w:szCs w:val="30"/>
        </w:rPr>
        <w:t xml:space="preserve">3.5 Prior-bias robustness</w:t>
      </w:r>
    </w:p>
    <w:p>
      <w:pPr>
        <w:spacing w:after="20" w:before="80"/>
        <w:jc w:val="center"/>
      </w:pPr>
      <w:r>
        <w:drawing>
          <wp:inline distT="0" distB="0" distL="0" distR="0">
            <wp:extent cx="5029200" cy="3771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The sonar sector grid: a circular search area divided into angular sectors, with the target sector highlighted (3D rendering)</w:t>
      </w:r>
    </w:p>
    <w:p>
      <w:pPr>
        <w:spacing w:line="240"/>
        <w:ind w:firstLine="480"/>
        <w:jc w:val="both"/>
      </w:pPr>
      <w:r>
        <w:rPr>
          <w:rFonts w:ascii="Times New Roman" w:eastAsia="SimSun"/>
          <w:color w:val="000000"/>
          <w:sz w:val="24"/>
          <w:szCs w:val="24"/>
        </w:rPr>
        <w:t xml:space="preserve">Belief-Greedy fails completely under biased priors on Hard (SR = 0.000): the greedy policy locks onto the wrong sector and cannot escape within the 20-step budget. Sequential scan is unaffected (SR = 0.432) because it ignores the prior. MuZero recovers partially (SR = 0.278 on Hard with biased prior), showing that its learned policy can correct a wrong prior through observation history — the KL divergence between belief and true target distribution decreases monotonically over pings (Figure 3-10).</w:t>
      </w:r>
    </w:p>
    <w:p>
      <w:pPr>
        <w:spacing w:after="20" w:before="80"/>
        <w:jc w:val="center"/>
      </w:pPr>
      <w:r>
        <w:drawing>
          <wp:inline distT="0" distB="0" distL="0" distR="0">
            <wp:extent cx="5029200" cy="4371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4371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3-11 Prior-bias robustness: (a)-(d) four initial belief types over 16 sectors, (e) KL divergence correction over pings, (f) success rate under different priors</w:t>
      </w:r>
    </w:p>
    <w:p>
      <w:pPr>
        <w:spacing w:after="20" w:before="80"/>
        <w:jc w:val="center"/>
      </w:pPr>
      <w:r>
        <w:drawing>
          <wp:inline distT="0" distB="0" distL="0" distR="0">
            <wp:extent cx="5029200" cy="3448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4480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3-12 Belief correction over pings: KL divergence from true target under different initial priors</w:t>
      </w:r>
    </w:p>
    <w:p>
      <w:pPr>
        <w:spacing w:after="20" w:before="80"/>
        <w:jc w:val="center"/>
      </w:pPr>
      <w:r>
        <w:drawing>
          <wp:inline distT="0" distB="0" distL="0" distR="0">
            <wp:extent cx="5029200" cy="3771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keepNext/>
        <w:spacing w:after="100" w:before="20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20" w:before="80"/>
        <w:jc w:val="center"/>
      </w:pPr>
      <w:r>
        <w:drawing>
          <wp:inline distT="0" distB="0" distL="0" distR="0">
            <wp:extent cx="5029200" cy="22193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22193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3-13 Level-1 vs Level-2 environment comparison (method rankings consistent)</w:t>
      </w:r>
    </w:p>
    <w:p>
      <w:pPr>
        <w:pStyle w:val="Heading2"/>
        <w:keepNext/>
        <w:spacing w:after="100" w:before="20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20" w:before="80"/>
        <w:jc w:val="center"/>
      </w:pPr>
      <w:r>
        <w:drawing>
          <wp:inline distT="0" distB="0" distL="0" distR="0">
            <wp:extent cx="5029200" cy="3771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3-14 Belief evolution over pings: the belief distribution sharpens from uniform to a single peak as evidence accumulates (3D rendering)</w:t>
      </w:r>
    </w:p>
    <w:p>
      <w:pPr>
        <w:pStyle w:val="Heading2"/>
        <w:keepNext/>
        <w:spacing w:after="100" w:before="200" w:line="280"/>
      </w:pPr>
      <w:r>
        <w:rPr>
          <w:rFonts w:ascii="Times New Roman" w:eastAsia="SimSun"/>
          <w:b/>
          <w:bCs/>
          <w:color w:val="000000"/>
          <w:sz w:val="30"/>
          <w:szCs w:val="30"/>
        </w:rPr>
        <w:t xml:space="preserve">3.8 Computational cost</w:t>
      </w:r>
    </w:p>
    <w:p>
      <w:pPr>
        <w:keepNext/>
        <w:spacing w:after="20" w:before="80"/>
        <w:jc w:val="center"/>
      </w:pPr>
      <w:r>
        <w:rPr>
          <w:rFonts w:ascii="Times New Roman" w:eastAsia="SimSun"/>
          <w:b/>
          <w:bCs/>
          <w:sz w:val="21"/>
          <w:szCs w:val="21"/>
        </w:rPr>
        <w:t xml:space="preserve">Table 3-7 Computational cost comparison (Medium difficulty)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6.7</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2.5</w:t>
            </w:r>
          </w:p>
        </w:tc>
      </w:tr>
    </w:tbl>
    <w:p>
      <w:pPr>
        <w:spacing w:after="60"/>
      </w:pPr>
    </w:p>
    <w:p>
      <w:pPr>
        <w:spacing w:line="240"/>
        <w:ind w:firstLine="480"/>
        <w:jc w:val="both"/>
      </w:pPr>
      <w:r>
        <w:rPr>
          <w:rFonts w:ascii="Times New Roman" w:eastAsia="SimSun"/>
          <w:color w:val="000000"/>
          <w:sz w:val="24"/>
          <w:szCs w:val="24"/>
        </w:rPr>
        <w:t xml:space="preserve">MuZero's advantage comes at a cost: its per-step decision latency is about 6.7 ms versus &lt;0.1 ms for DQN/PPO (a factor of ~220), driven by MCTS with 50 simulations and depth-5 planning. Training wall-clock is also higher (2.5 h/seed vs 0.2 h/seed for DQN). This performance-compute tradeoff is the price of lookahead planning and must be weighed against the detection gain.</w:t>
      </w:r>
    </w:p>
    <w:p>
      <w:pPr>
        <w:spacing w:after="20" w:before="80"/>
        <w:jc w:val="center"/>
      </w:pPr>
      <w:r>
        <w:drawing>
          <wp:inline distT="0" distB="0" distL="0" distR="0">
            <wp:extent cx="5029200" cy="3228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228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3-16 MCTS simulation count vs decision latency (performance-compute tradeoff)</w:t>
      </w:r>
    </w:p>
    <w:p>
      <w:pPr>
        <w:spacing w:after="20" w:before="80"/>
        <w:jc w:val="center"/>
      </w:pPr>
      <w:r>
        <w:drawing>
          <wp:inline distT="0" distB="0" distL="0" distR="0">
            <wp:extent cx="5029200" cy="3352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3528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3-17 Success rate vs decision latency tradeoff across methods</w:t>
      </w:r>
    </w:p>
    <w:p>
      <w:pPr>
        <w:pStyle w:val="Heading2"/>
        <w:keepNext/>
        <w:spacing w:after="100" w:before="20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3-18) show the learning dynamics of the three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MuZero converges to a higher validation success rate than DQN and PPO.</w:t>
      </w:r>
    </w:p>
    <w:p>
      <w:pPr>
        <w:spacing w:after="20" w:before="80"/>
        <w:jc w:val="center"/>
      </w:pPr>
      <w:r>
        <w:drawing>
          <wp:inline distT="0" distB="0" distL="0" distR="0">
            <wp:extent cx="5029200" cy="2124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1240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3-18 Training curves (episode return and training success rate vs environment steps)</w:t>
      </w:r>
    </w:p>
    <w:p>
      <w:pPr>
        <w:pStyle w:val="Heading2"/>
        <w:keepNext/>
        <w:spacing w:after="100" w:before="20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(Figures 3-19 to 3-22) show how each policy's probing logic differs.</w:t>
      </w:r>
    </w:p>
    <w:p>
      <w:pPr>
        <w:pStyle w:val="Heading1"/>
        <w:keepNext/>
        <w:spacing w:after="120" w:before="240" w:line="280"/>
        <w:jc w:val="center"/>
      </w:pPr>
      <w:r>
        <w:rPr>
          <w:rFonts w:ascii="Times New Roman" w:eastAsia="SimSun"/>
          <w:b/>
          <w:bCs/>
          <w:color w:val="000000"/>
          <w:sz w:val="32"/>
          <w:szCs w:val="32"/>
        </w:rPr>
        <w:t xml:space="preserve">4. Discussion</w:t>
      </w:r>
    </w:p>
    <w:p>
      <w:pPr>
        <w:pStyle w:val="Heading2"/>
        <w:keepNext/>
        <w:spacing w:after="100" w:before="20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keepNext/>
        <w:spacing w:after="100" w:before="20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keepNext/>
        <w:spacing w:after="100" w:before="20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Ablation A shows that MCTS contributes +0.18 SR in blind search — the single largest component. Ablation E shows GRU memory contributes +0.07. Together they explain why MuZero wins when observation is degraded: the GRU accumulates evidence over pings, and MCTS evaluates multi-step consequences of probing choices. Neither alone is sufficient; the combination is.</w:t>
      </w:r>
    </w:p>
    <w:p>
      <w:pPr>
        <w:pStyle w:val="Heading2"/>
        <w:keepNext/>
        <w:spacing w:after="100" w:before="20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w:t>
      </w:r>
    </w:p>
    <w:p>
      <w:pPr>
        <w:pStyle w:val="Heading2"/>
        <w:keepNext/>
        <w:spacing w:after="100" w:before="20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when a well-calibrated belief is available; switch to MuZero-style planning when the observation structure degrades belief sufficiency — for example, when the detection probability is unknown a priori, when priors are adversarial, or when the sensor cannot maintain a reliable belief filter. The sequential scan, despite being information-free, sets a robust floor and should not be dismissed as a baseline.</w:t>
      </w:r>
    </w:p>
    <w:p>
      <w:pPr>
        <w:pStyle w:val="Heading1"/>
        <w:keepNext/>
        <w:spacing w:after="120" w:before="24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(five seeds, paired scenarios, Holm-corrected statistical tests). Our results show that MuZero's advantage is conditional on the observation regime: when belief is directly observable, reactive methods win; when the agent must infer target state from raw interaction history, MuZero significantly outperforms all learned baselines (ΔSR +0.15 to +0.38, p &lt; 0.001). The contribution is not a new algorithm but a boundary characterization — a map of when learned planning pays off in active sonar search. Future work will extend to continuous beam steering, waveform parameter adaptation, moving targets, multi-target scenarios, and real sea trials.</w:t>
      </w:r>
    </w:p>
    <w:p>
      <w:pPr>
        <w:pStyle w:val="Heading1"/>
        <w:keepNext/>
        <w:spacing w:after="120" w:before="24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keepNext/>
        <w:spacing w:after="120" w:before="24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96bf99c1d0131e5967ee79a92815f4e06755673.png"/><Relationship Id="rId10" Type="http://schemas.openxmlformats.org/officeDocument/2006/relationships/image" Target="media/51d0cf06c15f909b7d1a5fef4bf4d1c3e728574a.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964c5f18c7c847a107637d65713737c612d482fa.png"/><Relationship Id="rId16" Type="http://schemas.openxmlformats.org/officeDocument/2006/relationships/image" Target="media/9db1faa94b86e42ac34da1ab8468b173a8efb0b0.png"/><Relationship Id="rId17" Type="http://schemas.openxmlformats.org/officeDocument/2006/relationships/image" Target="media/35a73f71f7a07da9117c04d1416f0135d3b010af.png"/><Relationship Id="rId18" Type="http://schemas.openxmlformats.org/officeDocument/2006/relationships/image" Target="media/43aa11f92939136fd78e5e2dbd0db46c4c2c87c9.png"/><Relationship Id="rId19" Type="http://schemas.openxmlformats.org/officeDocument/2006/relationships/image" Target="media/53389a14e14e4aeda28a49a2bdd29b8db9f0c288.png"/><Relationship Id="rId20" Type="http://schemas.openxmlformats.org/officeDocument/2006/relationships/image" Target="media/596530398fab940a0213aa6741468aa4e164283f.png"/><Relationship Id="rId21" Type="http://schemas.openxmlformats.org/officeDocument/2006/relationships/image" Target="media/be42dfe6c02afc45d917f5819b55a0cc3fe50fb3.png"/><Relationship Id="rId22" Type="http://schemas.openxmlformats.org/officeDocument/2006/relationships/image" Target="media/150cd9bc410232d0ed57136101b839c00a767fcc.png"/><Relationship Id="rId23" Type="http://schemas.openxmlformats.org/officeDocument/2006/relationships/image" Target="media/683a4383e9a2189c6e5bb24e7e91c15edd73b86f.png"/><Relationship Id="rId24" Type="http://schemas.openxmlformats.org/officeDocument/2006/relationships/image" Target="media/69d2517b049dd7e4987e4b4a688df3daa72610ed.png"/><Relationship Id="rId25" Type="http://schemas.openxmlformats.org/officeDocument/2006/relationships/image" Target="media/ac7b654a660b4e18e645eba77261dd4c9077c643.png"/><Relationship Id="rId26" Type="http://schemas.openxmlformats.org/officeDocument/2006/relationships/image" Target="media/cd7364d390395b05451b53ca1c6bda2ee716d41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2026-10-15T10:42:29.214Z</dcterms:created>
  <dcterms:modified xsi:type="dcterms:W3CDTF">2026-10-15T10:42:29.214Z</dcterms:modified>
</cp:coreProperties>
</file>

<file path=docProps/custom.xml><?xml version="1.0" encoding="utf-8"?>
<Properties xmlns="http://schemas.openxmlformats.org/officeDocument/2006/custom-properties" xmlns:vt="http://schemas.openxmlformats.org/officeDocument/2006/docPropsVTypes"/>
</file>