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【University Name】</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r>
        <w:rPr>
          <w:rFonts w:ascii="Times New Roman" w:eastAsia="SimSun"/>
          <w:color w:val="000000"/>
          <w:sz w:val="24"/>
          <w:szCs w:val="24"/>
        </w:rPr>
        <w:t xml:space="defaul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24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keepNext/>
        <w:spacing w:after="120" w:before="240" w:line="280"/>
        <w:jc w:val="center"/>
      </w:pPr>
      <w:r>
        <w:rPr>
          <w:rFonts w:ascii="Times New Roman" w:eastAsia="SimSun"/>
          <w:b/>
          <w:bCs/>
          <w:color w:val="000000"/>
          <w:sz w:val="32"/>
          <w:szCs w:val="32"/>
        </w:rPr>
        <w:t xml:space="preserve">1. Introduction</w:t>
      </w:r>
    </w:p>
    <w:p>
      <w:pPr>
        <w:pStyle w:val="Heading2"/>
        <w:keepNext/>
        <w:spacing w:after="100" w:before="20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20" w:before="80"/>
        <w:jc w:val="center"/>
      </w:pPr>
      <w:r>
        <w:drawing>
          <wp:inline distT="0" distB="0" distL="0" distR="0">
            <wp:extent cx="50292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36004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1-1 The adaptive cognitive sonar closed-loop: (a) four-stage transmit-observe-cognize-adapt cycle, (b) sector grid with belief heatmap and current beam, (c) Swerling-I detection model</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20" w:before="80"/>
        <w:jc w:val="center"/>
      </w:pPr>
      <w:r>
        <w:drawing>
          <wp:inline distT="0" distB="0" distL="0" distR="0">
            <wp:extent cx="5029200" cy="3781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814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100" w:before="20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100" w:before="20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100" w:before="20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120" w:before="240" w:line="280"/>
        <w:jc w:val="center"/>
      </w:pPr>
      <w:r>
        <w:rPr>
          <w:rFonts w:ascii="Times New Roman" w:eastAsia="SimSun"/>
          <w:b/>
          <w:bCs/>
          <w:color w:val="000000"/>
          <w:sz w:val="32"/>
          <w:szCs w:val="32"/>
        </w:rPr>
        <w:t xml:space="preserve">2. Methods</w:t>
      </w:r>
    </w:p>
    <w:p>
      <w:pPr>
        <w:spacing w:after="20" w:before="8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100" w:before="20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30" w:before="30"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30" w:before="30"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30" w:before="30"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20" w:before="8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100" w:before="20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30" w:before="30"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30" w:before="30"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30" w:before="30"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30" w:before="30"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30" w:before="30"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30" w:before="30"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30" w:before="30"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30" w:before="30"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30" w:before="30" w:line="240"/>
        <w:jc w:val="center"/>
      </w:pPr>
      <w:r>
        <w:t xml:space="preserve">	</w:t>
      </w:r>
      <m:oMath>
        <m:r>
          <m:t>P(o=1 | x=a) = P_D,   P(o=1 | x≠a) = P_FA</m:t>
        </m:r>
      </m:oMath>
      <w:r>
        <w:t xml:space="preserve">	(14)</w:t>
      </w:r>
    </w:p>
    <w:p>
      <w:pPr>
        <w:pStyle w:val="Heading2"/>
        <w:keepNext/>
        <w:spacing w:after="100" w:before="20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30" w:before="30"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30" w:before="30" w:line="240"/>
        <w:jc w:val="center"/>
      </w:pPr>
      <w:r>
        <w:t xml:space="preserve">	</w:t>
      </w:r>
      <m:oMath>
        <m:r>
          <m:t>r_t = R_hit · 1{o_t=1} − λ_s −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20" w:before="8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6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100" w:before="20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30" w:before="30"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30" w:before="30"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30" w:before="30" w:line="240"/>
        <w:jc w:val="center"/>
      </w:pPr>
      <w:r>
        <w:t xml:space="preserve">	</w:t>
      </w:r>
      <m:oMath>
        <m:r>
          <m:t>(p_t^k, v_t^k) = f_θ(h_t^k)</m:t>
        </m:r>
      </m:oMath>
      <w:r>
        <w:t xml:space="preserve">	(19)</w:t>
      </w:r>
    </w:p>
    <w:p>
      <w:pPr>
        <w:spacing w:after="20" w:before="8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20" w:before="8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60"/>
      </w:pPr>
    </w:p>
    <w:p>
      <w:pPr>
        <w:pStyle w:val="Heading2"/>
        <w:keepNext/>
        <w:spacing w:after="100" w:before="20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30" w:before="30"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30" w:before="30"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30" w:before="30"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30" w:before="30"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100" w:before="20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30" w:before="30" w:line="240"/>
        <w:jc w:val="center"/>
      </w:pPr>
      <w:r>
        <w:t xml:space="preserve">	</w:t>
      </w:r>
      <m:oMath>
        <m:r>
          <m:t>a* = arg max_a ( Q(s,a) + U(s,a) )</m:t>
        </m:r>
      </m:oMath>
      <w:r>
        <w:t xml:space="preserve">	(24)</w:t>
      </w:r>
    </w:p>
    <w:p>
      <w:pPr>
        <w:tabs>
          <w:tab w:val="center" w:pos="4500"/>
          <w:tab w:val="right" w:pos="9000"/>
        </w:tabs>
        <w:spacing w:after="30" w:before="30"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30" w:before="30"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30" w:before="30"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keepNext/>
        <w:spacing w:after="100" w:before="20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30" w:before="30"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30" w:before="30"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30" w:before="30" w:line="240"/>
        <w:jc w:val="center"/>
      </w:pPr>
      <w:r>
        <w:t xml:space="preserve">	</w:t>
      </w:r>
      <m:oMath>
        <m:r>
          <m:t>r_t(θ) = π_θ(a_t|s_t) / π_{θ_old}(a_t|s_t)</m:t>
        </m:r>
      </m:oMath>
      <w:r>
        <w:t xml:space="preserve">	(29)</w:t>
      </w:r>
    </w:p>
    <w:p>
      <w:pPr>
        <w:tabs>
          <w:tab w:val="center" w:pos="4500"/>
          <w:tab w:val="right" w:pos="9000"/>
        </w:tabs>
        <w:spacing w:after="30" w:before="30"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keepNext/>
        <w:spacing w:after="20" w:before="8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60"/>
      </w:pPr>
    </w:p>
    <w:p>
      <w:pPr>
        <w:pStyle w:val="Heading2"/>
        <w:keepNext/>
        <w:spacing w:after="100" w:before="200" w:line="280"/>
      </w:pPr>
      <w:r>
        <w:rPr>
          <w:rFonts w:ascii="Times New Roman" w:eastAsia="SimSun"/>
          <w:b/>
          <w:bCs/>
          <w:color w:val="000000"/>
          <w:sz w:val="30"/>
          <w:szCs w:val="30"/>
        </w:rPr>
        <w:t xml:space="preserve">2.8 Fair comparison protocol</w:t>
      </w:r>
    </w:p>
    <w:p>
      <w:pPr>
        <w:spacing w:after="20" w:before="8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100" w:before="20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100" w:before="20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120" w:before="240" w:line="280"/>
        <w:jc w:val="center"/>
      </w:pPr>
      <w:r>
        <w:rPr>
          <w:rFonts w:ascii="Times New Roman" w:eastAsia="SimSun"/>
          <w:b/>
          <w:bCs/>
          <w:color w:val="000000"/>
          <w:sz w:val="32"/>
          <w:szCs w:val="32"/>
        </w:rPr>
        <w:t xml:space="preserve">3. Results</w:t>
      </w:r>
    </w:p>
    <w:p>
      <w:pPr>
        <w:pStyle w:val="Heading2"/>
        <w:keepNext/>
        <w:spacing w:after="100" w:before="200" w:line="280"/>
      </w:pPr>
      <w:r>
        <w:rPr>
          <w:rFonts w:ascii="Times New Roman" w:eastAsia="SimSun"/>
          <w:b/>
          <w:bCs/>
          <w:color w:val="000000"/>
          <w:sz w:val="30"/>
          <w:szCs w:val="30"/>
        </w:rPr>
        <w:t xml:space="preserve">3.1 Main comparison across three observation regimes</w:t>
      </w:r>
    </w:p>
    <w:p>
      <w:pPr>
        <w:keepNext/>
        <w:spacing w:after="20" w:before="8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bl>
    <w:p>
      <w:pPr>
        <w:spacing w:after="6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20" w:before="8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 Success rate comparison across Easy/Medium/Hard difficulties (blind search regime, V3)</w:t>
      </w:r>
    </w:p>
    <w:p>
      <w:pPr>
        <w:spacing w:after="20" w:before="8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100" w:before="20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20" w:before="8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bl>
    <w:p>
      <w:pPr>
        <w:spacing w:after="60"/>
      </w:pPr>
    </w:p>
    <w:p>
      <w:pPr>
        <w:pStyle w:val="Heading2"/>
        <w:keepNext/>
        <w:spacing w:after="100" w:before="200" w:line="280"/>
      </w:pPr>
      <w:r>
        <w:rPr>
          <w:rFonts w:ascii="Times New Roman" w:eastAsia="SimSun"/>
          <w:b/>
          <w:bCs/>
          <w:color w:val="000000"/>
          <w:sz w:val="30"/>
          <w:szCs w:val="30"/>
        </w:rPr>
        <w:t xml:space="preserve">3.3 Ablation studies</w:t>
      </w:r>
    </w:p>
    <w:p>
      <w:pPr>
        <w:keepNext/>
        <w:spacing w:after="20" w:before="8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+0.084</w:t>
            </w:r>
          </w:p>
        </w:tc>
      </w:tr>
    </w:tbl>
    <w:p>
      <w:pPr>
        <w:spacing w:after="60"/>
      </w:pPr>
    </w:p>
    <w:p>
      <w:pPr>
        <w:spacing w:line="240"/>
        <w:ind w:firstLine="480"/>
        <w:jc w:val="both"/>
      </w:pPr>
      <w:r>
        <w:rPr>
          <w:rFonts w:ascii="Times New Roman" w:eastAsia="SimSun"/>
          <w:color w:val="000000"/>
          <w:sz w:val="24"/>
          <w:szCs w:val="24"/>
        </w:rPr>
        <w:t xml:space="preserve">Removing MCTS (using only the policy head without search) degrades MuZero from SR = — to 0.499 (−—), confirming that tree search is the primary contributor to MuZero's advantage (ablation A). Removing GRU memory reduces SR to 0.608 (−-0.037), and removing domain randomization reduces it to 0.642 (−-0.071). Shaped (potential-based) rewards produce no significant change (+0.084), suggesting the sparse task reward is already well-shaped by the detection objective.</w:t>
      </w:r>
    </w:p>
    <w:p>
      <w:pPr>
        <w:keepNext/>
        <w:spacing w:after="20" w:before="8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0.653</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60"/>
      </w:pPr>
    </w:p>
    <w:p>
      <w:pPr>
        <w:spacing w:line="24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20" w:before="8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0.546</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60"/>
      </w:pPr>
    </w:p>
    <w:p>
      <w:pPr>
        <w:pStyle w:val="Heading2"/>
        <w:keepNext/>
        <w:spacing w:after="100" w:before="200" w:line="280"/>
      </w:pPr>
      <w:r>
        <w:rPr>
          <w:rFonts w:ascii="Times New Roman" w:eastAsia="SimSun"/>
          <w:b/>
          <w:bCs/>
          <w:color w:val="000000"/>
          <w:sz w:val="30"/>
          <w:szCs w:val="30"/>
        </w:rPr>
        <w:t xml:space="preserve">3.4 Out-of-distribution robustness</w:t>
      </w:r>
    </w:p>
    <w:p>
      <w:pPr>
        <w:keepNext/>
        <w:spacing w:after="20" w:before="8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Condition</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(MuZero)</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Drop vs ID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ID (Medium)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OOD-SNR (+8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0.738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improved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OOD-PFA (0.15)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OOD-N (48 sectors)</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−73%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OOD-Prior (adversarial)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0.686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OOD-Reverb (+9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r>
    </w:tbl>
    <w:p>
      <w:pPr>
        <w:spacing w:after="6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20" w:before="80"/>
        <w:jc w:val="center"/>
      </w:pPr>
      <w:r>
        <w:drawing>
          <wp:inline distT="0" distB="0" distL="0" distR="0">
            <wp:extent cx="50292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765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ID vs OOD performance comparison across all methods (blind search)</w:t>
      </w:r>
    </w:p>
    <w:p>
      <w:pPr>
        <w:pStyle w:val="Heading2"/>
        <w:keepNext/>
        <w:spacing w:after="100" w:before="200" w:line="280"/>
      </w:pPr>
      <w:r>
        <w:rPr>
          <w:rFonts w:ascii="Times New Roman" w:eastAsia="SimSun"/>
          <w:b/>
          <w:bCs/>
          <w:color w:val="000000"/>
          <w:sz w:val="30"/>
          <w:szCs w:val="30"/>
        </w:rPr>
        <w:t xml:space="preserve">3.5 Prior-bias robustness</w:t>
      </w:r>
    </w:p>
    <w:p>
      <w:pPr>
        <w:spacing w:after="20" w:before="80"/>
        <w:jc w:val="center"/>
      </w:pPr>
      <w:r>
        <w:drawing>
          <wp:inline distT="0" distB="0" distL="0" distR="0">
            <wp:extent cx="5029200" cy="3771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The sonar sector grid: a circular search area divided into angular sectors, with the target sector highlighted (3D rendering)</w:t>
      </w:r>
    </w:p>
    <w:p>
      <w:pPr>
        <w:spacing w:line="24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partially correct a wrong prior through observation history — the KL divergence between belief and true target distribution drops sharply within the first few pings and then plateaus (Figure 3-10), indicating rapid initial correction with slower refinement.</w:t>
      </w:r>
    </w:p>
    <w:p>
      <w:pPr>
        <w:spacing w:after="20" w:before="80"/>
        <w:jc w:val="center"/>
      </w:pPr>
      <w:r>
        <w:drawing>
          <wp:inline distT="0" distB="0" distL="0" distR="0">
            <wp:extent cx="5029200" cy="4371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4371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3-11 Prior-bias robustness: (a)-(d) four initial belief types over 16 sectors, (e) KL divergence correction over pings, (f) success rate under different priors</w:t>
      </w:r>
    </w:p>
    <w:p>
      <w:pPr>
        <w:spacing w:after="20" w:before="80"/>
        <w:jc w:val="center"/>
      </w:pPr>
      <w:r>
        <w:drawing>
          <wp:inline distT="0" distB="0" distL="0" distR="0">
            <wp:extent cx="5029200" cy="3448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4480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3-12 Belief correction over pings: KL divergence from true target under different initial priors</w:t>
      </w:r>
    </w:p>
    <w:p>
      <w:pPr>
        <w:spacing w:after="20" w:before="80"/>
        <w:jc w:val="center"/>
      </w:pPr>
      <w:r>
        <w:drawing>
          <wp:inline distT="0" distB="0" distL="0" distR="0">
            <wp:extent cx="5029200" cy="3771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100" w:before="20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20" w:before="80"/>
        <w:jc w:val="center"/>
      </w:pPr>
      <w:r>
        <w:drawing>
          <wp:inline distT="0" distB="0" distL="0" distR="0">
            <wp:extent cx="5029200" cy="22193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22193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3-13 Level-1 vs Level-2 environment comparison (method rankings consistent)</w:t>
      </w:r>
    </w:p>
    <w:p>
      <w:pPr>
        <w:pStyle w:val="Heading2"/>
        <w:keepNext/>
        <w:spacing w:after="100" w:before="20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20" w:before="80"/>
        <w:jc w:val="center"/>
      </w:pPr>
      <w:r>
        <w:drawing>
          <wp:inline distT="0" distB="0" distL="0" distR="0">
            <wp:extent cx="5029200" cy="3771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3-14 Belief evolution over pings: the belief distribution sharpens from uniform to a single peak as evidence accumulates (3D rendering)</w:t>
      </w:r>
    </w:p>
    <w:p>
      <w:pPr>
        <w:pStyle w:val="Heading2"/>
        <w:keepNext/>
        <w:spacing w:after="100" w:before="200" w:line="280"/>
      </w:pPr>
      <w:r>
        <w:rPr>
          <w:rFonts w:ascii="Times New Roman" w:eastAsia="SimSun"/>
          <w:b/>
          <w:bCs/>
          <w:color w:val="000000"/>
          <w:sz w:val="30"/>
          <w:szCs w:val="30"/>
        </w:rPr>
        <w:t xml:space="preserve">3.8 Computational cost</w:t>
      </w:r>
    </w:p>
    <w:p>
      <w:pPr>
        <w:keepNext/>
        <w:spacing w:after="20" w:before="8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2.5</w:t>
            </w:r>
          </w:p>
        </w:tc>
      </w:tr>
    </w:tbl>
    <w:p>
      <w:pPr>
        <w:spacing w:after="60"/>
      </w:pPr>
    </w:p>
    <w:p>
      <w:pPr>
        <w:spacing w:line="24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20" w:before="80"/>
        <w:jc w:val="center"/>
      </w:pPr>
      <w:r>
        <w:drawing>
          <wp:inline distT="0" distB="0" distL="0" distR="0">
            <wp:extent cx="5029200" cy="3228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228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3-16 MCTS simulation count vs decision latency (performance-compute tradeoff)</w:t>
      </w:r>
    </w:p>
    <w:p>
      <w:pPr>
        <w:spacing w:after="20" w:before="80"/>
        <w:jc w:val="center"/>
      </w:pPr>
      <w:r>
        <w:drawing>
          <wp:inline distT="0" distB="0" distL="0" distR="0">
            <wp:extent cx="5029200" cy="3352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3528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3-17 Success rate vs decision latency tradeoff across methods</w:t>
      </w:r>
    </w:p>
    <w:p>
      <w:pPr>
        <w:pStyle w:val="Heading2"/>
        <w:keepNext/>
        <w:spacing w:after="100" w:before="20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20" w:before="80"/>
        <w:jc w:val="center"/>
      </w:pPr>
      <w:r>
        <w:drawing>
          <wp:inline distT="0" distB="0" distL="0" distR="0">
            <wp:extent cx="5029200" cy="2124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124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3-18 Training curves (episode return and training success rate vs environment steps)</w:t>
      </w:r>
    </w:p>
    <w:p>
      <w:pPr>
        <w:pStyle w:val="Heading2"/>
        <w:keepNext/>
        <w:spacing w:after="100" w:before="20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pStyle w:val="Heading1"/>
        <w:keepNext/>
        <w:spacing w:after="120" w:before="240" w:line="280"/>
        <w:jc w:val="center"/>
      </w:pPr>
      <w:r>
        <w:rPr>
          <w:rFonts w:ascii="Times New Roman" w:eastAsia="SimSun"/>
          <w:b/>
          <w:bCs/>
          <w:color w:val="000000"/>
          <w:sz w:val="32"/>
          <w:szCs w:val="32"/>
        </w:rPr>
        <w:t xml:space="preserve">4. Discussion</w:t>
      </w:r>
    </w:p>
    <w:p>
      <w:pPr>
        <w:pStyle w:val="Heading2"/>
        <w:keepNext/>
        <w:spacing w:after="100" w:before="20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100" w:before="20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100" w:before="20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keepNext/>
        <w:spacing w:after="100" w:before="20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learned baselines do not include memory-augmented variants (e.g., DQN with GRU over history, PPO with frame stacking) or dedicated POMDP planners (e.g., POMCP, DESPOT) — MuZero's advantage over these alternatives remains to be tested, and we note this as important future work. Second,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keepNext/>
        <w:spacing w:after="100" w:before="20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keepNext/>
        <w:spacing w:after="120" w:before="24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keepNext/>
        <w:spacing w:after="120" w:before="24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120" w:before="24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6bf99c1d0131e5967ee79a92815f4e06755673.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964c5f18c7c847a107637d65713737c612d482fa.png"/><Relationship Id="rId16" Type="http://schemas.openxmlformats.org/officeDocument/2006/relationships/image" Target="media/9db1faa94b86e42ac34da1ab8468b173a8efb0b0.png"/><Relationship Id="rId17" Type="http://schemas.openxmlformats.org/officeDocument/2006/relationships/image" Target="media/35a73f71f7a07da9117c04d1416f0135d3b010af.png"/><Relationship Id="rId18" Type="http://schemas.openxmlformats.org/officeDocument/2006/relationships/image" Target="media/43aa11f92939136fd78e5e2dbd0db46c4c2c87c9.png"/><Relationship Id="rId19" Type="http://schemas.openxmlformats.org/officeDocument/2006/relationships/image" Target="media/53389a14e14e4aeda28a49a2bdd29b8db9f0c288.png"/><Relationship Id="rId20" Type="http://schemas.openxmlformats.org/officeDocument/2006/relationships/image" Target="media/596530398fab940a0213aa6741468aa4e164283f.png"/><Relationship Id="rId21" Type="http://schemas.openxmlformats.org/officeDocument/2006/relationships/image" Target="media/be42dfe6c02afc45d917f5819b55a0cc3fe50fb3.png"/><Relationship Id="rId22" Type="http://schemas.openxmlformats.org/officeDocument/2006/relationships/image" Target="media/150cd9bc410232d0ed57136101b839c00a767fcc.png"/><Relationship Id="rId23" Type="http://schemas.openxmlformats.org/officeDocument/2006/relationships/image" Target="media/683a4383e9a2189c6e5bb24e7e91c15edd73b86f.png"/><Relationship Id="rId24" Type="http://schemas.openxmlformats.org/officeDocument/2006/relationships/image" Target="media/69d2517b049dd7e4987e4b4a688df3daa72610ed.png"/><Relationship Id="rId25" Type="http://schemas.openxmlformats.org/officeDocument/2006/relationships/image" Target="media/ac7b654a660b4e18e645eba77261dd4c9077c643.png"/><Relationship Id="rId26" Type="http://schemas.openxmlformats.org/officeDocument/2006/relationships/image" Target="media/cd7364d390395b05451b53ca1c6bda2ee716d41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2026-10-15T10:48:55.149Z</dcterms:created>
  <dcterms:modified xsi:type="dcterms:W3CDTF">2026-10-15T10:48:55.149Z</dcterms:modified>
</cp:coreProperties>
</file>

<file path=docProps/custom.xml><?xml version="1.0" encoding="utf-8"?>
<Properties xmlns="http://schemas.openxmlformats.org/officeDocument/2006/custom-properties" xmlns:vt="http://schemas.openxmlformats.org/officeDocument/2006/docPropsVTypes"/>
</file>