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line="828"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200" w:before="200"/>
        <w:jc w:val="center"/>
      </w:pPr>
      <w:r>
        <w:rPr>
          <w:rFonts w:ascii="Times New Roman" w:eastAsia="SimSun"/>
          <w:sz w:val="24"/>
          <w:szCs w:val="24"/>
        </w:rPr>
        <w:t xml:space="preserve">Rui Tan1, Fei Hu1*</w:t>
      </w:r>
    </w:p>
    <w:p>
      <w:pPr>
        <w:spacing w:after="400"/>
        <w:jc w:val="center"/>
      </w:pPr>
      <w:r>
        <w:rPr>
          <w:rFonts w:ascii="Times New Roman" w:eastAsia="SimSun"/>
          <w:sz w:val="20"/>
          <w:szCs w:val="20"/>
        </w:rPr>
        <w:t xml:space="preserve">1 School of Computer Science and Engineering (School of Artificial Intelligence), XXX University</w:t>
      </w:r>
    </w:p>
    <w:p>
      <w:pPr>
        <w:spacing w:after="400" w:before="100"/>
        <w:jc w:val="center"/>
      </w:pPr>
      <w:r>
        <w:rPr>
          <w:rFonts w:ascii="Times New Roman" w:eastAsia="SimSun"/>
          <w:sz w:val="20"/>
          <w:szCs w:val="20"/>
        </w:rPr>
        <w:t xml:space="preserve">*Corresponding author: [advisor email]</w:t>
      </w:r>
    </w:p>
    <w:p>
      <w:pPr>
        <w:spacing w:after="200" w:before="200" w:line="240"/>
        <w:jc w:val="center"/>
      </w:pPr>
      <w:r>
        <w:rPr>
          <w:rFonts w:ascii="Times New Roman" w:eastAsia="SimSun"/>
          <w:color w:val="000000"/>
          <w:sz w:val="24"/>
          <w:szCs w:val="24"/>
        </w:rPr>
        <w:t xml:space="default"/>
      </w:r>
    </w:p>
    <w:p>
      <w:pPr>
        <w:spacing w:line="24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Sequential, Random, Belief-Greedy, DQN, and PPO baselines across Easy/Medium/Hard difficulties, five independent seeds, 1000 paired evaluation episodes per condition, and Holm-corrected paired statistical tests. Three findings emerge. First, when a calibrated belief map is directly observable, reactive methods dominate (Belief-Greedy SR=0.96, DQN SR=0.92), and MuZero underperforms (SR=0.61). Second, under a blind-search regime where the belief is not observable, MuZero significantly outperforms all learned baselines (SR=0.68 vs DQN 0.33, PPO 0.30; p&lt;0.001 for all three difficulties), with MCTS contributing +0.18 and GRU memory +0.07 in ablations. Third, Belief-Greedy catastrophically fails under biased priors (SR=0.000 on Hard) while sequential scanning is robust. These results delineate the conditions under which MuZero-style planning pays off: planning matters when observation structure degrades belief sufficiency.</w:t>
      </w:r>
    </w:p>
    <w:p>
      <w:pPr>
        <w:spacing w:before="200" w:line="240"/>
        <w:ind w:firstLine="480"/>
        <w:jc w:val="both"/>
        <w:sectPr>
          <w:pgSz w:w="11906" w:h="16838" w:orient="portrait"/>
          <w:pgMar w:top="1440" w:right="1417" w:bottom="1440" w:left="1701" w:header="708" w:footer="708" w:gutter="0"/>
          <w:pgNumType/>
          <w:docGrid w:linePitch="360"/>
        </w:sectPr>
      </w:pPr>
      <w:r>
        <w:rPr>
          <w:rFonts w:ascii="Times New Roman" w:eastAsia="SimSun"/>
          <w:color w:val="000000"/>
          <w:sz w:val="24"/>
          <w:szCs w:val="24"/>
        </w:rPr>
        <w:t xml:space="default"/>
      </w:r>
    </w:p>
    <w:p>
      <w:pPr>
        <w:pStyle w:val="Heading1"/>
        <w:keepNext/>
        <w:spacing w:after="120" w:before="240" w:line="280"/>
        <w:jc w:val="center"/>
      </w:pPr>
      <w:r>
        <w:rPr>
          <w:rFonts w:ascii="Times New Roman" w:eastAsia="SimSun"/>
          <w:b/>
          <w:bCs/>
          <w:color w:val="000000"/>
          <w:sz w:val="32"/>
          <w:szCs w:val="32"/>
        </w:rPr>
        <w:t xml:space="preserve">1. Introduction</w:t>
      </w:r>
    </w:p>
    <w:p>
      <w:pPr>
        <w:pStyle w:val="Heading2"/>
        <w:keepNext/>
        <w:spacing w:after="100" w:before="200" w:line="280"/>
      </w:pPr>
      <w:r>
        <w:rPr>
          <w:rFonts w:ascii="Times New Roman" w:eastAsia="SimSun"/>
          <w:b/>
          <w:bCs/>
          <w:color w:val="000000"/>
          <w:sz w:val="30"/>
          <w:szCs w:val="30"/>
        </w:rPr>
        <w:t xml:space="preserve">1.1 Background and motivation</w:t>
      </w:r>
    </w:p>
    <w:p>
      <w:pPr>
        <w:spacing w:line="24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[1], making active sonar the primary and most effective means of remote underwater detection.</w:t>
      </w:r>
    </w:p>
    <w:p>
      <w:pPr>
        <w:spacing w:line="24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[1][8]. When the target position is highly uncertain and the environment varies, this fixed policy wastes emission resources on low-value bearings, leading to low detection efficiency, high energy cost, and high exposure risk.</w:t>
      </w:r>
    </w:p>
    <w:p>
      <w:pPr>
        <w:spacing w:after="20" w:before="80"/>
        <w:jc w:val="center"/>
      </w:pPr>
      <w:r>
        <w:drawing>
          <wp:inline distT="0" distB="0" distL="0" distR="0">
            <wp:extent cx="50292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4152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1-1 The cognitive sonar adaptive closed-loop detection chain: transmit → observe → cognize → adapt</w:t>
      </w:r>
    </w:p>
    <w:p>
      <w:pPr>
        <w:spacing w:line="24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[6][7].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spacing w:after="20" w:before="80"/>
        <w:jc w:val="center"/>
      </w:pPr>
      <w:r>
        <w:drawing>
          <wp:inline distT="0" distB="0" distL="0" distR="0">
            <wp:extent cx="5029200" cy="3781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7814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1-2 The active sonar search scenario: (a) sector grid + belief heatmap, (b) Swerling-I detection model, (c) beam directivity, (d) belief evolution over pings</w:t>
      </w:r>
    </w:p>
    <w:p>
      <w:pPr>
        <w:spacing w:line="24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[30][31][32],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keepNext/>
        <w:spacing w:after="100" w:before="200" w:line="280"/>
      </w:pPr>
      <w:r>
        <w:rPr>
          <w:rFonts w:ascii="Times New Roman" w:eastAsia="SimSun"/>
          <w:b/>
          <w:bCs/>
          <w:color w:val="000000"/>
          <w:sz w:val="30"/>
          <w:szCs w:val="30"/>
        </w:rPr>
        <w:t xml:space="preserve">1.2 Why MuZero</w:t>
      </w:r>
    </w:p>
    <w:p>
      <w:pPr>
        <w:spacing w:line="24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[2]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24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keepNext/>
        <w:spacing w:after="100" w:before="200" w:line="280"/>
      </w:pPr>
      <w:r>
        <w:rPr>
          <w:rFonts w:ascii="Times New Roman" w:eastAsia="SimSun"/>
          <w:b/>
          <w:bCs/>
          <w:color w:val="000000"/>
          <w:sz w:val="30"/>
          <w:szCs w:val="30"/>
        </w:rPr>
        <w:t xml:space="preserve">1.3 Research questions and hypotheses</w:t>
      </w:r>
    </w:p>
    <w:p>
      <w:pPr>
        <w:spacing w:line="24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keepNext/>
        <w:spacing w:after="100" w:before="200" w:line="280"/>
      </w:pPr>
      <w:r>
        <w:rPr>
          <w:rFonts w:ascii="Times New Roman" w:eastAsia="SimSun"/>
          <w:b/>
          <w:bCs/>
          <w:color w:val="000000"/>
          <w:sz w:val="30"/>
          <w:szCs w:val="30"/>
        </w:rPr>
        <w:t xml:space="preserve">1.4 Contributions</w:t>
      </w:r>
    </w:p>
    <w:p>
      <w:pPr>
        <w:spacing w:line="24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five baselines. (2) We provide a boundary characterization — we identify the observation-regime conditions under which model-based planning outperforms reactive policies, and show that reactive methods dominate when belief is directly observable. (3) We demonstrate through ablations that MuZero's advantage in blind search comes from MCTS lookahead and GRU memory,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keepNext/>
        <w:spacing w:after="120" w:before="240" w:line="280"/>
        <w:jc w:val="center"/>
      </w:pPr>
      <w:r>
        <w:rPr>
          <w:rFonts w:ascii="Times New Roman" w:eastAsia="SimSun"/>
          <w:b/>
          <w:bCs/>
          <w:color w:val="000000"/>
          <w:sz w:val="32"/>
          <w:szCs w:val="32"/>
        </w:rPr>
        <w:t xml:space="preserve">2. Methods</w:t>
      </w:r>
    </w:p>
    <w:p>
      <w:pPr>
        <w:spacing w:after="20" w:before="80"/>
        <w:jc w:val="center"/>
      </w:pPr>
      <w:r>
        <w:drawing>
          <wp:inline distT="0" distB="0" distL="0" distR="0">
            <wp:extent cx="5029200" cy="3771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2-1 Overall system architecture: six layers with dual channels (real environment and MuZero latent planning)</w:t>
      </w:r>
    </w:p>
    <w:p>
      <w:pPr>
        <w:pStyle w:val="Heading2"/>
        <w:keepNext/>
        <w:spacing w:after="100" w:before="200" w:line="280"/>
      </w:pPr>
      <w:r>
        <w:rPr>
          <w:rFonts w:ascii="Times New Roman" w:eastAsia="SimSun"/>
          <w:b/>
          <w:bCs/>
          <w:color w:val="000000"/>
          <w:sz w:val="30"/>
          <w:szCs w:val="30"/>
        </w:rPr>
        <w:t xml:space="preserve">2.1 Task formalization: POMDP for active detection</w:t>
      </w:r>
    </w:p>
    <w:p>
      <w:pPr>
        <w:spacing w:line="24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30" w:before="30" w:line="240"/>
        <w:jc w:val="center"/>
      </w:pPr>
      <w:r>
        <w:t xml:space="preserve">	</w:t>
      </w:r>
      <m:oMath>
        <m:r>
          <m:t>J(π) = E_π [ R_D · 1{T_D ≤ T_max} − λ₁ T_D − λ₂ C_E − λ₃ N_FA ]</m:t>
        </m:r>
      </m:oMath>
      <w:r>
        <w:t xml:space="preserve">	(1)</w:t>
      </w:r>
    </w:p>
    <w:p>
      <w:pPr>
        <w:spacing w:line="24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24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30" w:before="30" w:line="240"/>
        <w:jc w:val="center"/>
      </w:pPr>
      <w:r>
        <w:t xml:space="preserve">	</w:t>
      </w:r>
      <m:oMath>
        <m:r>
          <m:t>b_t(i) = P(x = i | H_t),   Σᵢ b_t(i) = 1</m:t>
        </m:r>
      </m:oMath>
      <w:r>
        <w:t xml:space="preserve">	(4)</w:t>
      </w:r>
    </w:p>
    <w:p>
      <w:pPr>
        <w:spacing w:line="24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30" w:before="30" w:line="240"/>
        <w:jc w:val="center"/>
      </w:pPr>
      <w:r>
        <w:t xml:space="preserve">	</w:t>
      </w:r>
      <m:oMath>
        <m:f>
          <m:num>
            <m:r>
              <m:t>P(o_{t+1} | x = i, a_t) b_t(i)</m:t>
            </m:r>
          </m:num>
          <m:den>
            <m:r>
              <m:t>Σ_j P(o_{t+1} | x = j, a_t) b_t(j)</m:t>
            </m:r>
          </m:den>
        </m:f>
      </m:oMath>
      <w:r>
        <w:t xml:space="preserve">	(5)</w:t>
      </w:r>
    </w:p>
    <w:p>
      <w:pPr>
        <w:spacing w:line="24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spacing w:after="20" w:before="80"/>
        <w:jc w:val="center"/>
      </w:pPr>
      <w:r>
        <w:drawing>
          <wp:inline distT="0" distB="0" distL="0" distR="0">
            <wp:extent cx="5029200" cy="3771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2-2 The POMDP interaction loop: hidden target sector, active sonar emission, observation, Bayesian belief update, and policy action</w:t>
      </w:r>
    </w:p>
    <w:p>
      <w:pPr>
        <w:pStyle w:val="Heading2"/>
        <w:keepNext/>
        <w:spacing w:after="100" w:before="200" w:line="280"/>
      </w:pPr>
      <w:r>
        <w:rPr>
          <w:rFonts w:ascii="Times New Roman" w:eastAsia="SimSun"/>
          <w:b/>
          <w:bCs/>
          <w:color w:val="000000"/>
          <w:sz w:val="30"/>
          <w:szCs w:val="30"/>
        </w:rPr>
        <w:t xml:space="preserve">2.2 Acoustic environment model</w:t>
      </w:r>
    </w:p>
    <w:p>
      <w:pPr>
        <w:spacing w:line="24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30" w:before="30" w:line="240"/>
        <w:jc w:val="center"/>
      </w:pPr>
      <w:r>
        <w:t xml:space="preserve">	</w:t>
      </w:r>
      <m:oMath>
        <m:r>
          <m:t>s(t) = A · rect(t/T_p) · cos(2π(f₀t + ½kt²))</m:t>
        </m:r>
      </m:oMath>
      <w:r>
        <w:t xml:space="preserve">	(6)</w:t>
      </w:r>
    </w:p>
    <w:p>
      <w:pPr>
        <w:spacing w:line="24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30" w:before="30" w:line="240"/>
        <w:jc w:val="center"/>
      </w:pPr>
      <w:r>
        <w:t xml:space="preserve">	</w:t>
      </w:r>
      <m:oMath>
        <m:r>
          <m:t>y(t) = α s(t − τ) + c(t) + n(t)</m:t>
        </m:r>
      </m:oMath>
      <w:r>
        <w:t xml:space="preserve">	(7)</w:t>
      </w:r>
    </w:p>
    <w:p>
      <w:pPr>
        <w:spacing w:line="24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30" w:before="30" w:line="240"/>
        <w:jc w:val="center"/>
      </w:pPr>
      <w:r>
        <w:t xml:space="preserve">	</w:t>
      </w:r>
      <m:oMath>
        <m:f>
          <m:num>
            <m:r>
              <m:t>c τ</m:t>
            </m:r>
          </m:num>
          <m:den>
            <m:r>
              <m:t>2</m:t>
            </m:r>
          </m:den>
        </m:f>
        <m:r>
          <m:t xml:space="preserve">  ⟹  R = cτ/2</m:t>
        </m:r>
      </m:oMath>
      <w:r>
        <w:t xml:space="preserve">	(8)</w:t>
      </w:r>
    </w:p>
    <w:p>
      <w:pPr>
        <w:spacing w:line="240"/>
        <w:ind w:firstLine="480"/>
        <w:jc w:val="both"/>
      </w:pPr>
      <w:r>
        <w:rPr>
          <w:rFonts w:ascii="Times New Roman" w:eastAsia="SimSun"/>
          <w:color w:val="000000"/>
          <w:sz w:val="24"/>
          <w:szCs w:val="24"/>
        </w:rPr>
        <w:t xml:space="preserve">where c is the speed of sound in water (≈ 1500 m/s).</w:t>
      </w:r>
    </w:p>
    <w:p>
      <w:pPr>
        <w:spacing w:line="240"/>
        <w:ind w:firstLine="480"/>
        <w:jc w:val="both"/>
      </w:pPr>
      <w:r>
        <w:rPr>
          <w:rFonts w:ascii="Times New Roman" w:eastAsia="SimSun"/>
          <w:color w:val="000000"/>
          <w:sz w:val="24"/>
          <w:szCs w:val="24"/>
        </w:rPr>
        <w:t xml:space="preserve">Propagation loss follows a parameterized model of spherical spreading plus absorption [1]:</w:t>
      </w:r>
    </w:p>
    <w:p>
      <w:pPr>
        <w:tabs>
          <w:tab w:val="center" w:pos="4500"/>
          <w:tab w:val="right" w:pos="9000"/>
        </w:tabs>
        <w:spacing w:after="30" w:before="30" w:line="240"/>
        <w:jc w:val="center"/>
      </w:pPr>
      <w:r>
        <w:t xml:space="preserve">	</w:t>
      </w:r>
      <m:oMath>
        <m:r>
          <m:t>TL(R) = 20 log₁₀(R) + α_f R</m:t>
        </m:r>
      </m:oMath>
      <w:r>
        <w:t xml:space="preserve">	(9)</w:t>
      </w:r>
    </w:p>
    <w:p>
      <w:pPr>
        <w:spacing w:line="24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24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30" w:before="30" w:line="240"/>
        <w:jc w:val="center"/>
      </w:pPr>
      <w:r>
        <w:t xml:space="preserve">	</w:t>
      </w:r>
      <m:oMath>
        <m:r>
          <m:t>G(Δθ) = exp( −Δθ² / (2σ_b²) )</m:t>
        </m:r>
      </m:oMath>
      <w:r>
        <w:t xml:space="preserve">	(10)</w:t>
      </w:r>
    </w:p>
    <w:p>
      <w:pPr>
        <w:spacing w:line="24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240"/>
        <w:ind w:firstLine="480"/>
        <w:jc w:val="both"/>
      </w:pPr>
      <w:r>
        <w:rPr>
          <w:rFonts w:ascii="Times New Roman" w:eastAsia="SimSun"/>
          <w:color w:val="000000"/>
          <w:sz w:val="24"/>
          <w:szCs w:val="24"/>
        </w:rPr>
        <w:t xml:space="preserve">The effective echo SNR per ping is given by the active sonar equation (in dB) [1]:</w:t>
      </w:r>
    </w:p>
    <w:p>
      <w:pPr>
        <w:tabs>
          <w:tab w:val="center" w:pos="4500"/>
          <w:tab w:val="right" w:pos="9000"/>
        </w:tabs>
        <w:spacing w:after="30" w:before="30" w:line="240"/>
        <w:jc w:val="center"/>
      </w:pPr>
      <w:r>
        <w:t xml:space="preserve">	</w:t>
      </w:r>
      <m:oMath>
        <m:r>
          <m:t>SNR_t = SL − 2 TL(R) + TS + 20 log₁₀ G(Δθ_t) − (NL − DI)</m:t>
        </m:r>
      </m:oMath>
      <w:r>
        <w:t xml:space="preserve">	(11)</w:t>
      </w:r>
    </w:p>
    <w:p>
      <w:pPr>
        <w:spacing w:line="24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24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30" w:before="30" w:line="240"/>
        <w:jc w:val="center"/>
      </w:pPr>
      <w:r>
        <w:t xml:space="preserve">	</w:t>
      </w:r>
      <m:oMath>
        <m:r>
          <m:t>P_FA = exp( −V_T² / (2σ_n²) )</m:t>
        </m:r>
      </m:oMath>
      <w:r>
        <w:t xml:space="preserve">	(12)</w:t>
      </w:r>
    </w:p>
    <w:p>
      <w:pPr>
        <w:spacing w:line="240"/>
        <w:ind w:firstLine="480"/>
        <w:jc w:val="both"/>
      </w:pPr>
      <w:r>
        <w:rPr>
          <w:rFonts w:ascii="Times New Roman" w:eastAsia="SimSun"/>
          <w:color w:val="000000"/>
          <w:sz w:val="24"/>
          <w:szCs w:val="24"/>
        </w:rPr>
        <w:t xml:space="preserve">For a Swerling-I fluctuating target, the detection probability is [1]:</w:t>
      </w:r>
    </w:p>
    <w:p>
      <w:pPr>
        <w:tabs>
          <w:tab w:val="center" w:pos="4500"/>
          <w:tab w:val="right" w:pos="9000"/>
        </w:tabs>
        <w:spacing w:after="30" w:before="30" w:line="240"/>
        <w:jc w:val="center"/>
      </w:pPr>
      <w:r>
        <w:t xml:space="preserve">	</w:t>
      </w:r>
      <m:oMath>
        <m:sSup>
          <m:sSupPr/>
          <m:e>
            <m:r>
              <m:t>P_FA</m:t>
            </m:r>
          </m:e>
          <m:sup>
            <m:r>
              <m:t>1/(1+SNR)</m:t>
            </m:r>
          </m:sup>
        </m:sSup>
      </m:oMath>
      <w:r>
        <w:t xml:space="preserve">	(13)</w:t>
      </w:r>
    </w:p>
    <w:p>
      <w:pPr>
        <w:spacing w:line="24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30" w:before="30" w:line="240"/>
        <w:jc w:val="center"/>
      </w:pPr>
      <w:r>
        <w:t xml:space="preserve">	</w:t>
      </w:r>
      <m:oMath>
        <m:r>
          <m:t>P(o=1 | x=a) = P_D,   P(o=1 | x≠a) = P_FA</m:t>
        </m:r>
      </m:oMath>
      <w:r>
        <w:t xml:space="preserve">	(14)</w:t>
      </w:r>
    </w:p>
    <w:p>
      <w:pPr>
        <w:pStyle w:val="Heading2"/>
        <w:keepNext/>
        <w:spacing w:after="100" w:before="200" w:line="280"/>
      </w:pPr>
      <w:r>
        <w:rPr>
          <w:rFonts w:ascii="Times New Roman" w:eastAsia="SimSun"/>
          <w:b/>
          <w:bCs/>
          <w:color w:val="000000"/>
          <w:sz w:val="30"/>
          <w:szCs w:val="30"/>
        </w:rPr>
        <w:t xml:space="preserve">2.3 State, observation, action, and reward</w:t>
      </w:r>
    </w:p>
    <w:p>
      <w:pPr>
        <w:spacing w:line="24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30" w:before="30" w:line="240"/>
        <w:jc w:val="center"/>
      </w:pPr>
      <w:r>
        <w:t xml:space="preserve">	</w:t>
      </w:r>
      <m:oMath>
        <m:r>
          <m:t>o_t = ( b_t,  m_t,  a_{t−1},  d_{t−1},  t/T_max )</m:t>
        </m:r>
      </m:oMath>
      <w:r>
        <w:t xml:space="preserve">	(15)</w:t>
      </w:r>
    </w:p>
    <w:p>
      <w:pPr>
        <w:spacing w:line="24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24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30" w:before="30" w:line="240"/>
        <w:jc w:val="center"/>
      </w:pPr>
      <w:r>
        <w:t xml:space="preserve">	</w:t>
      </w:r>
      <m:oMath>
        <m:r>
          <m:t>r_t = R_hit · 1{o_t=1} − λ_s − λ_f · 1{o_t=1, x≠a_t} − λ_e · C(a_t)</m:t>
        </m:r>
      </m:oMath>
      <w:r>
        <w:t xml:space="preserve">	(16)</w:t>
      </w:r>
    </w:p>
    <w:p>
      <w:pPr>
        <w:spacing w:line="24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20" w:before="8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N sectors</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Target P_D</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P_FA</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 type</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Concentrated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Dispersed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32</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Biased (wrong sector)</w:t>
            </w:r>
          </w:p>
        </w:tc>
      </w:tr>
    </w:tbl>
    <w:p>
      <w:pPr>
        <w:spacing w:after="60"/>
      </w:pPr>
    </w:p>
    <w:p>
      <w:pPr>
        <w:spacing w:line="24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keepNext/>
        <w:spacing w:after="100" w:before="200" w:line="280"/>
      </w:pPr>
      <w:r>
        <w:rPr>
          <w:rFonts w:ascii="Times New Roman" w:eastAsia="SimSun"/>
          <w:b/>
          <w:bCs/>
          <w:color w:val="000000"/>
          <w:sz w:val="30"/>
          <w:szCs w:val="30"/>
        </w:rPr>
        <w:t xml:space="preserve">2.4 MuZero agent: representation, dynamics, prediction</w:t>
      </w:r>
    </w:p>
    <w:p>
      <w:pPr>
        <w:spacing w:line="24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[2]. The representation network encodes the interaction history into a latent state:</w:t>
      </w:r>
    </w:p>
    <w:p>
      <w:pPr>
        <w:tabs>
          <w:tab w:val="center" w:pos="4500"/>
          <w:tab w:val="right" w:pos="9000"/>
        </w:tabs>
        <w:spacing w:after="30" w:before="30" w:line="240"/>
        <w:jc w:val="center"/>
      </w:pPr>
      <w:r>
        <w:t xml:space="preserve">	</w:t>
      </w:r>
      <m:oMath>
        <m:r>
          <m:t>h_t⁰ = h_θ(H_t)</m:t>
        </m:r>
      </m:oMath>
      <w:r>
        <w:t xml:space="preserve">	(17)</w:t>
      </w:r>
    </w:p>
    <w:p>
      <w:pPr>
        <w:spacing w:line="24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24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30" w:before="30" w:line="240"/>
        <w:jc w:val="center"/>
      </w:pPr>
      <w:r>
        <w:t xml:space="preserve">	</w:t>
      </w:r>
      <m:oMath>
        <m:r>
          <m:t>(r_t^k, h_t^{k+1}) = g_θ(h_t^k, a^k)</m:t>
        </m:r>
      </m:oMath>
      <w:r>
        <w:t xml:space="preserve">	(18)</w:t>
      </w:r>
    </w:p>
    <w:p>
      <w:pPr>
        <w:spacing w:line="24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30" w:before="30" w:line="240"/>
        <w:jc w:val="center"/>
      </w:pPr>
      <w:r>
        <w:t xml:space="preserve">	</w:t>
      </w:r>
      <m:oMath>
        <m:r>
          <m:t>(p_t^k, v_t^k) = f_θ(h_t^k)</m:t>
        </m:r>
      </m:oMath>
      <w:r>
        <w:t xml:space="preserve">	(19)</w:t>
      </w:r>
    </w:p>
    <w:p>
      <w:pPr>
        <w:spacing w:after="20" w:before="80"/>
        <w:jc w:val="center"/>
      </w:pPr>
      <w:r>
        <w:drawing>
          <wp:inline distT="0" distB="0" distL="0" distR="0">
            <wp:extent cx="5029200" cy="3771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2-4 MuZero architecture: representation network encodes history into a latent state; dynamics and prediction networks drive MCTS planning in latent space</w:t>
      </w:r>
    </w:p>
    <w:p>
      <w:pPr>
        <w:spacing w:line="24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20" w:before="8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055"/>
        <w:gridCol w:w="1933"/>
        <w:gridCol w:w="1230"/>
        <w:gridCol w:w="1055"/>
        <w:gridCol w:w="2109"/>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Module</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Input dim</w:t>
            </w:r>
          </w:p>
        </w:tc>
        <w:tc>
          <w:tcPr>
            <w:tcW w:type="pct" w:w="11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Hidden structure</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Output dim</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Activation</w:t>
            </w:r>
          </w:p>
        </w:tc>
        <w:tc>
          <w:tcPr>
            <w:tcW w:type="pct" w:w="12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Function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Representation h_θ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2N+3</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FC(256)→GRU(256)→FC(128)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 (latent)</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history→latent</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Dynamics g_θ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128+N (action embed.)</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128+1 (reward)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latent transition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Prediction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prior + value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head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256</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action prob.</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Value/reward head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Linear</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scalar regression</w:t>
            </w:r>
          </w:p>
        </w:tc>
      </w:tr>
    </w:tbl>
    <w:p>
      <w:pPr>
        <w:spacing w:after="60"/>
      </w:pPr>
    </w:p>
    <w:p>
      <w:pPr>
        <w:pStyle w:val="Heading2"/>
        <w:keepNext/>
        <w:spacing w:after="100" w:before="200" w:line="280"/>
      </w:pPr>
      <w:r>
        <w:rPr>
          <w:rFonts w:ascii="Times New Roman" w:eastAsia="SimSun"/>
          <w:b/>
          <w:bCs/>
          <w:color w:val="000000"/>
          <w:sz w:val="30"/>
          <w:szCs w:val="30"/>
        </w:rPr>
        <w:t xml:space="preserve">2.5 MuZero training objective</w:t>
      </w:r>
    </w:p>
    <w:p>
      <w:pPr>
        <w:spacing w:line="24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30" w:before="30" w:line="240"/>
        <w:jc w:val="center"/>
      </w:pPr>
      <w:r>
        <w:t xml:space="preserve">	</w:t>
      </w:r>
      <m:oMath>
        <m:r>
          <m:t>z_t = Σ_{i=0}^{n−1} γ^i r_{t+i} + γ^n v_{t+n}</m:t>
        </m:r>
      </m:oMath>
      <w:r>
        <w:t xml:space="preserve">	(20)</w:t>
      </w:r>
    </w:p>
    <w:p>
      <w:pPr>
        <w:spacing w:line="24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30" w:before="30" w:line="240"/>
        <w:jc w:val="center"/>
      </w:pPr>
      <w:r>
        <w:t xml:space="preserve">	</w:t>
      </w:r>
      <m:oMath>
        <m:r>
          <m:t>u_t = z_t − γ z_{t+1}</m:t>
        </m:r>
      </m:oMath>
      <w:r>
        <w:t xml:space="preserve">	(21)</w:t>
      </w:r>
    </w:p>
    <w:p>
      <w:pPr>
        <w:spacing w:line="24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30" w:before="30" w:line="24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24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30" w:before="30" w:line="240"/>
        <w:jc w:val="center"/>
      </w:pPr>
      <w:r>
        <w:t xml:space="preserve">	</w:t>
      </w:r>
      <m:oMath>
        <m:r>
          <m:t>l_r = (r − u)²,   l_v = (v − z)²,   l_p = −Σ_a π(a) ln p(a)</m:t>
        </m:r>
      </m:oMath>
      <w:r>
        <w:t xml:space="preserve">	(23)</w:t>
      </w:r>
    </w:p>
    <w:p>
      <w:pPr>
        <w:spacing w:line="24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keepNext/>
        <w:spacing w:after="100" w:before="200" w:line="280"/>
      </w:pPr>
      <w:r>
        <w:rPr>
          <w:rFonts w:ascii="Times New Roman" w:eastAsia="SimSun"/>
          <w:b/>
          <w:bCs/>
          <w:color w:val="000000"/>
          <w:sz w:val="30"/>
          <w:szCs w:val="30"/>
        </w:rPr>
        <w:t xml:space="preserve">2.6 MCTS planning with PUCT</w:t>
      </w:r>
    </w:p>
    <w:p>
      <w:pPr>
        <w:spacing w:line="24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30" w:before="30" w:line="240"/>
        <w:jc w:val="center"/>
      </w:pPr>
      <w:r>
        <w:t xml:space="preserve">	</w:t>
      </w:r>
      <m:oMath>
        <m:r>
          <m:t>a* = arg max_a ( Q(s,a) + U(s,a) )</m:t>
        </m:r>
      </m:oMath>
      <w:r>
        <w:t xml:space="preserve">	(24)</w:t>
      </w:r>
    </w:p>
    <w:p>
      <w:pPr>
        <w:tabs>
          <w:tab w:val="center" w:pos="4500"/>
          <w:tab w:val="right" w:pos="9000"/>
        </w:tabs>
        <w:spacing w:after="30" w:before="30" w:line="240"/>
        <w:jc w:val="center"/>
      </w:pPr>
      <w:r>
        <w:t xml:space="preserve">	</w:t>
      </w:r>
      <m:oMath>
        <m:r>
          <m:t>U(s,a) = c(s) · P(s,a) · √N_b(s) / (1 + N(s,a)),   c(s) = c₁ + ln(N_b(s)+c_base)/c_base</m:t>
        </m:r>
      </m:oMath>
      <w:r>
        <w:t xml:space="preserve">	(24)</w:t>
      </w:r>
    </w:p>
    <w:p>
      <w:pPr>
        <w:spacing w:line="24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24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30" w:before="30" w:line="240"/>
        <w:jc w:val="center"/>
      </w:pPr>
      <w:r>
        <w:t xml:space="preserve">	</w:t>
      </w:r>
      <m:oMath>
        <m:r>
          <m:t>G^k = Σ_τ γ^τ r^{k+1+τ} + γ^{l−k} v^l,   Q(s,a) = W(s,a)/N(s,a)</m:t>
        </m:r>
      </m:oMath>
      <w:r>
        <w:t xml:space="preserve">	(25)</w:t>
      </w:r>
    </w:p>
    <w:p>
      <w:pPr>
        <w:spacing w:line="24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30" w:before="30" w:line="240"/>
        <w:jc w:val="center"/>
      </w:pPr>
      <w:r>
        <w:t xml:space="preserve">	</w:t>
      </w:r>
      <m:oMath>
        <m:f>
          <m:num>
            <m:r>
              <m:t>N(s,a)^{1/τ}</m:t>
            </m:r>
          </m:num>
          <m:den>
            <m:r>
              <m:t>Σ_b N(s,b)^{1/τ}</m:t>
            </m:r>
          </m:den>
        </m:f>
      </m:oMath>
      <w:r>
        <w:t xml:space="preserve">	(26)</w:t>
      </w:r>
    </w:p>
    <w:p>
      <w:pPr>
        <w:spacing w:line="24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We treat MCTS simulation count (25/50/100/200) and planning depth (1/3/5/10) as ablation variables to analyze the performance-computation tradeoff.</w:t>
      </w:r>
    </w:p>
    <w:p>
      <w:pPr>
        <w:pStyle w:val="Heading2"/>
        <w:keepNext/>
        <w:spacing w:after="100" w:before="200" w:line="280"/>
      </w:pPr>
      <w:r>
        <w:rPr>
          <w:rFonts w:ascii="Times New Roman" w:eastAsia="SimSun"/>
          <w:b/>
          <w:bCs/>
          <w:color w:val="000000"/>
          <w:sz w:val="30"/>
          <w:szCs w:val="30"/>
        </w:rPr>
        <w:t xml:space="preserve">2.7 Baselines</w:t>
      </w:r>
    </w:p>
    <w:p>
      <w:pPr>
        <w:spacing w:line="240"/>
        <w:ind w:firstLine="480"/>
        <w:jc w:val="both"/>
      </w:pPr>
      <w:r>
        <w:rPr>
          <w:rFonts w:ascii="Times New Roman" w:eastAsia="SimSun"/>
          <w:color w:val="000000"/>
          <w:sz w:val="24"/>
          <w:szCs w:val="24"/>
        </w:rPr>
        <w:t xml:space="preserve">We compare MuZero against five baselines. Sequential scans sectors in fixed cyclic order. Random samples uniformly at each step. Belief-Greedy picks the sector with the highest current posterior probability:</w:t>
      </w:r>
    </w:p>
    <w:p>
      <w:pPr>
        <w:tabs>
          <w:tab w:val="center" w:pos="4500"/>
          <w:tab w:val="right" w:pos="9000"/>
        </w:tabs>
        <w:spacing w:after="30" w:before="30" w:line="240"/>
        <w:jc w:val="center"/>
      </w:pPr>
      <w:r>
        <w:t xml:space="preserve">	</w:t>
      </w:r>
      <m:oMath>
        <m:r>
          <m:t>a_t = arg max_{i∈S} b_t(i)</m:t>
        </m:r>
      </m:oMath>
      <w:r>
        <w:t xml:space="preserve">	(27)</w:t>
      </w:r>
    </w:p>
    <w:p>
      <w:pPr>
        <w:spacing w:line="24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[4] receives the same observation vector as MuZero and outputs Q-values per action, trained with experience replay, a target network, and ε-greedy exploration:</w:t>
      </w:r>
    </w:p>
    <w:p>
      <w:pPr>
        <w:tabs>
          <w:tab w:val="center" w:pos="4500"/>
          <w:tab w:val="right" w:pos="9000"/>
        </w:tabs>
        <w:spacing w:after="30" w:before="30" w:line="240"/>
        <w:jc w:val="center"/>
      </w:pPr>
      <w:r>
        <w:t xml:space="preserve">	</w:t>
      </w:r>
      <m:oMath>
        <m:r>
          <m:t>L_DQN = E[ ( r_t + γ max_{a′} Q⁻(s_{t+1},a′) − Q(s_t,a_t) )² ]</m:t>
        </m:r>
      </m:oMath>
      <w:r>
        <w:t xml:space="preserve">	(28)</w:t>
      </w:r>
    </w:p>
    <w:p>
      <w:pPr>
        <w:spacing w:line="240"/>
        <w:ind w:firstLine="480"/>
        <w:jc w:val="both"/>
      </w:pPr>
      <w:r>
        <w:rPr>
          <w:rFonts w:ascii="Times New Roman" w:eastAsia="SimSun"/>
          <w:color w:val="000000"/>
          <w:sz w:val="24"/>
          <w:szCs w:val="24"/>
        </w:rPr>
        <w:t xml:space="preserve">where Q⁻ is the target network. PPO [5] is a model-free policy-gradient method with clipped objectives:</w:t>
      </w:r>
    </w:p>
    <w:p>
      <w:pPr>
        <w:tabs>
          <w:tab w:val="center" w:pos="4500"/>
          <w:tab w:val="right" w:pos="9000"/>
        </w:tabs>
        <w:spacing w:after="30" w:before="30" w:line="240"/>
        <w:jc w:val="center"/>
      </w:pPr>
      <w:r>
        <w:t xml:space="preserve">	</w:t>
      </w:r>
      <m:oMath>
        <m:r>
          <m:t>r_t(θ) = π_θ(a_t|s_t) / π_{θ_old}(a_t|s_t)</m:t>
        </m:r>
      </m:oMath>
      <w:r>
        <w:t xml:space="preserve">	(29)</w:t>
      </w:r>
    </w:p>
    <w:p>
      <w:pPr>
        <w:tabs>
          <w:tab w:val="center" w:pos="4500"/>
          <w:tab w:val="right" w:pos="9000"/>
        </w:tabs>
        <w:spacing w:after="30" w:before="30" w:line="240"/>
        <w:jc w:val="center"/>
      </w:pPr>
      <w:r>
        <w:t xml:space="preserve">	</w:t>
      </w:r>
      <m:oMath>
        <m:r>
          <m:t>L^CLIP(θ) = E_t[ min( r_t(θ) A_t, clip(r_t(θ), 1−ε, 1+ε) A_t ) ]</m:t>
        </m:r>
      </m:oMath>
      <w:r>
        <w:t xml:space="preserve">	(30)</w:t>
      </w:r>
    </w:p>
    <w:p>
      <w:pPr>
        <w:spacing w:line="240"/>
        <w:ind w:firstLine="480"/>
        <w:jc w:val="both"/>
      </w:pPr>
      <w:r>
        <w:rPr>
          <w:rFonts w:ascii="Times New Roman" w:eastAsia="SimSun"/>
          <w:color w:val="000000"/>
          <w:sz w:val="24"/>
          <w:szCs w:val="24"/>
        </w:rPr>
        <w:t xml:space="preserve">where A_t is the advantage estimate and ε is the clip parameter.</w:t>
      </w:r>
    </w:p>
    <w:p>
      <w:pPr>
        <w:keepNext/>
        <w:spacing w:after="20" w:before="80"/>
        <w:jc w:val="center"/>
      </w:pPr>
      <w:r>
        <w:rPr>
          <w:rFonts w:ascii="Times New Roman" w:eastAsia="SimSun"/>
          <w:b/>
          <w:bCs/>
          <w:sz w:val="21"/>
          <w:szCs w:val="21"/>
        </w:rPr>
        <w:t xml:space="preserve">Table 3-3 Method comparison (adopted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Env. model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Lookahead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Belief use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Param. learning</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Multi-step</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Greedy (1-step)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Learned latent</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Explicit (MCTS)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r>
    </w:tbl>
    <w:p>
      <w:pPr>
        <w:spacing w:after="60"/>
      </w:pPr>
    </w:p>
    <w:p>
      <w:pPr>
        <w:pStyle w:val="Heading2"/>
        <w:keepNext/>
        <w:spacing w:after="100" w:before="200" w:line="280"/>
      </w:pPr>
      <w:r>
        <w:rPr>
          <w:rFonts w:ascii="Times New Roman" w:eastAsia="SimSun"/>
          <w:b/>
          <w:bCs/>
          <w:color w:val="000000"/>
          <w:sz w:val="30"/>
          <w:szCs w:val="30"/>
        </w:rPr>
        <w:t xml:space="preserve">2.8 Fair comparison protocol</w:t>
      </w:r>
    </w:p>
    <w:p>
      <w:pPr>
        <w:spacing w:after="20" w:before="80"/>
        <w:jc w:val="center"/>
      </w:pPr>
      <w:r>
        <w:drawing>
          <wp:inline distT="0" distB="0" distL="0" distR="0">
            <wp:extent cx="5029200" cy="37719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2-5 Experimental pipeline: scenario generation, training, validation-based model selection, paired testing, ablation and OOD evaluation, statistics and figures</w:t>
      </w:r>
    </w:p>
    <w:p>
      <w:pPr>
        <w:spacing w:line="24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keepNext/>
        <w:spacing w:after="100" w:before="200" w:line="280"/>
      </w:pPr>
      <w:r>
        <w:rPr>
          <w:rFonts w:ascii="Times New Roman" w:eastAsia="SimSun"/>
          <w:b/>
          <w:bCs/>
          <w:color w:val="000000"/>
          <w:sz w:val="30"/>
          <w:szCs w:val="30"/>
        </w:rPr>
        <w:t xml:space="preserve">2.9 Evaluation metrics</w:t>
      </w:r>
    </w:p>
    <w:p>
      <w:pPr>
        <w:spacing w:line="24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keepNext/>
        <w:spacing w:after="100" w:before="200" w:line="280"/>
      </w:pPr>
      <w:r>
        <w:rPr>
          <w:rFonts w:ascii="Times New Roman" w:eastAsia="SimSun"/>
          <w:b/>
          <w:bCs/>
          <w:color w:val="000000"/>
          <w:sz w:val="30"/>
          <w:szCs w:val="30"/>
        </w:rPr>
        <w:t xml:space="preserve">2.10 Statistical tests</w:t>
      </w:r>
    </w:p>
    <w:p>
      <w:pPr>
        <w:spacing w:line="24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keepNext/>
        <w:spacing w:after="120" w:before="240" w:line="280"/>
        <w:jc w:val="center"/>
      </w:pPr>
      <w:r>
        <w:rPr>
          <w:rFonts w:ascii="Times New Roman" w:eastAsia="SimSun"/>
          <w:b/>
          <w:bCs/>
          <w:color w:val="000000"/>
          <w:sz w:val="32"/>
          <w:szCs w:val="32"/>
        </w:rPr>
        <w:t xml:space="preserve">3. Results</w:t>
      </w:r>
    </w:p>
    <w:p>
      <w:pPr>
        <w:pStyle w:val="Heading2"/>
        <w:keepNext/>
        <w:spacing w:after="100" w:before="200" w:line="280"/>
      </w:pPr>
      <w:r>
        <w:rPr>
          <w:rFonts w:ascii="Times New Roman" w:eastAsia="SimSun"/>
          <w:b/>
          <w:bCs/>
          <w:color w:val="000000"/>
          <w:sz w:val="30"/>
          <w:szCs w:val="30"/>
        </w:rPr>
        <w:t xml:space="preserve">3.1 Main comparison across three observation regimes</w:t>
      </w:r>
    </w:p>
    <w:p>
      <w:pPr>
        <w:keepNext/>
        <w:spacing w:after="20" w:before="80"/>
        <w:jc w:val="center"/>
      </w:pPr>
      <w:r>
        <w:rPr>
          <w:rFonts w:ascii="Times New Roman" w:eastAsia="SimSun"/>
          <w:b/>
          <w:bCs/>
          <w:sz w:val="21"/>
          <w:szCs w:val="21"/>
        </w:rPr>
        <w:t xml:space="preserve">Table 3-1 Success rate (SR) and average detection steps (ADS) across three observation regimes (5 seeds, 1000 paired episodes per condition)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Regime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(Easy)</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(Hard)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ADS (Med.)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R1 belief-fed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R3 blind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bl>
    <w:p>
      <w:pPr>
        <w:spacing w:after="60"/>
      </w:pPr>
    </w:p>
    <w:p>
      <w:pPr>
        <w:spacing w:line="24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MuZero reaches SR = 0.679 on Medium, significantly outperforming DQN (0.335) and PPO (0.303) — a gap of about two-fold. On Easy, MuZero (0.725) still trails Belief-Greedy (0.999) and Sequential (0.999), because the correct concentrated prior makes the greedy policy essentially optimal.</w:t>
      </w:r>
    </w:p>
    <w:p>
      <w:pPr>
        <w:spacing w:after="20" w:before="80"/>
        <w:jc w:val="center"/>
      </w:pPr>
      <w:r>
        <w:drawing>
          <wp:inline distT="0" distB="0" distL="0" distR="0">
            <wp:extent cx="50292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847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 Success rate comparison across Easy/Medium/Hard difficulties (blind search regime, V3)</w:t>
      </w:r>
    </w:p>
    <w:p>
      <w:pPr>
        <w:spacing w:after="20" w:before="80"/>
        <w:jc w:val="center"/>
      </w:pPr>
      <w:r>
        <w:drawing>
          <wp:inline distT="0" distB="0" distL="0" distR="0">
            <wp:extent cx="5029200" cy="2867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8670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3-2 Average detection steps comparison across difficulties (successful episodes only)</w:t>
      </w:r>
    </w:p>
    <w:p>
      <w:pPr>
        <w:pStyle w:val="Heading2"/>
        <w:keepNext/>
        <w:spacing w:after="100" w:before="200" w:line="280"/>
      </w:pPr>
      <w:r>
        <w:rPr>
          <w:rFonts w:ascii="Times New Roman" w:eastAsia="SimSun"/>
          <w:b/>
          <w:bCs/>
          <w:color w:val="000000"/>
          <w:sz w:val="30"/>
          <w:szCs w:val="30"/>
        </w:rPr>
        <w:t xml:space="preserve">3.2 Statistical significance</w:t>
      </w:r>
    </w:p>
    <w:p>
      <w:pPr>
        <w:spacing w:line="240"/>
        <w:ind w:firstLine="480"/>
        <w:jc w:val="both"/>
      </w:pPr>
      <w:r>
        <w:rPr>
          <w:rFonts w:ascii="Times New Roman" w:eastAsia="SimSun"/>
          <w:color w:val="000000"/>
          <w:sz w:val="24"/>
          <w:szCs w:val="24"/>
        </w:rPr>
        <w:t xml:space="preserve">Paired statistical tests (Holm-corrected, α=0.05) on the blind-search regime (V3) show that MuZero's advantage over both DQN and PPO is significant in all three difficulties (Table 3-2). The effect sizes are large (Cohen's dz = 0.59–1.08). MuZero also significantly outperforms Random on Easy and Hard, while the difference against Sequential scan is negative (Sequential is information-free and sets a strong floor on SR).</w:t>
      </w:r>
    </w:p>
    <w:p>
      <w:pPr>
        <w:keepNext/>
        <w:spacing w:after="20" w:before="80"/>
        <w:jc w:val="center"/>
      </w:pPr>
      <w:r>
        <w:rPr>
          <w:rFonts w:ascii="Times New Roman" w:eastAsia="SimSun"/>
          <w:b/>
          <w:bCs/>
          <w:sz w:val="21"/>
          <w:szCs w:val="21"/>
        </w:rPr>
        <w:t xml:space="preserve">Table 3-2 Paired statistical tests (Holm-corrected) for MuZero vs baselines in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Comparison (V3)</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ΔSR</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 (Holm)</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Cohen's dz</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+0.247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0.857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1.045</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0.594</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+0.254</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1.079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+0.376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1.074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Random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+0.016</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0.142 (n.s.)</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0.046</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Sequential</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−0.220</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−0.602</w:t>
            </w:r>
          </w:p>
        </w:tc>
      </w:tr>
    </w:tbl>
    <w:p>
      <w:pPr>
        <w:spacing w:after="60"/>
      </w:pPr>
    </w:p>
    <w:p>
      <w:pPr>
        <w:pStyle w:val="Heading2"/>
        <w:keepNext/>
        <w:spacing w:after="100" w:before="200" w:line="280"/>
      </w:pPr>
      <w:r>
        <w:rPr>
          <w:rFonts w:ascii="Times New Roman" w:eastAsia="SimSun"/>
          <w:b/>
          <w:bCs/>
          <w:color w:val="000000"/>
          <w:sz w:val="30"/>
          <w:szCs w:val="30"/>
        </w:rPr>
        <w:t xml:space="preserve">3.3 Ablation studies</w:t>
      </w:r>
    </w:p>
    <w:p>
      <w:pPr>
        <w:keepNext/>
        <w:spacing w:after="20" w:before="8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Variant</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 vs full</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(full)</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0.571</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MCTS (policy only)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0.499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−-0.037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domain randomization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0.642</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Shaped reward</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+0.084</w:t>
            </w:r>
          </w:p>
        </w:tc>
      </w:tr>
    </w:tbl>
    <w:p>
      <w:pPr>
        <w:spacing w:after="60"/>
      </w:pPr>
    </w:p>
    <w:p>
      <w:pPr>
        <w:spacing w:line="240"/>
        <w:ind w:firstLine="480"/>
        <w:jc w:val="both"/>
      </w:pPr>
      <w:r>
        <w:rPr>
          <w:rFonts w:ascii="Times New Roman" w:eastAsia="SimSun"/>
          <w:color w:val="000000"/>
          <w:sz w:val="24"/>
          <w:szCs w:val="24"/>
        </w:rPr>
        <w:t xml:space="preserve">Removing MCTS (using only the policy head without search) degrades MuZero from SR = 0.679 to 0.499 (−0.180), confirming that tree search is the primary contributor to MuZero's advantage (ablation A). Removing GRU memory reduces SR to 0.608 (−0.071), and removing domain randomization reduces it to 0.642 (−0.037). Shaped (potential-based) rewards produce no significant change (+0.024), suggesting the sparse task reward is already well-shaped by the detection objective.</w:t>
      </w:r>
    </w:p>
    <w:p>
      <w:pPr>
        <w:keepNext/>
        <w:spacing w:after="20" w:before="8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MCTS sims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Latency (ms)</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0.227</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0.536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0.653</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13.8</w:t>
            </w:r>
          </w:p>
        </w:tc>
      </w:tr>
    </w:tbl>
    <w:p>
      <w:pPr>
        <w:spacing w:after="60"/>
      </w:pPr>
    </w:p>
    <w:p>
      <w:pPr>
        <w:spacing w:line="240"/>
        <w:ind w:firstLine="480"/>
        <w:jc w:val="both"/>
      </w:pPr>
      <w:r>
        <w:rPr>
          <w:rFonts w:ascii="Times New Roman" w:eastAsia="SimSun"/>
          <w:color w:val="000000"/>
          <w:sz w:val="24"/>
          <w:szCs w:val="24"/>
        </w:rPr>
        <w:t xml:space="preserve">MCTS simulation count shows a clear performance-compute tradeoff (Table 3-4): 25 simulations degrade performance sharply (SR drops by −0.43 relative to 50), while increasing from 50 to 100 or 200 provides diminishing returns. The chosen default of 50 sits at a reasonable tradeoff point.</w:t>
      </w:r>
    </w:p>
    <w:p>
      <w:pPr>
        <w:keepNext/>
        <w:spacing w:after="20" w:before="8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Planning depth</w:t>
            </w:r>
          </w:p>
        </w:tc>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0.614</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0.546</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bl>
    <w:p>
      <w:pPr>
        <w:spacing w:after="60"/>
      </w:pPr>
    </w:p>
    <w:p>
      <w:pPr>
        <w:pStyle w:val="Heading2"/>
        <w:keepNext/>
        <w:spacing w:after="100" w:before="200" w:line="280"/>
      </w:pPr>
      <w:r>
        <w:rPr>
          <w:rFonts w:ascii="Times New Roman" w:eastAsia="SimSun"/>
          <w:b/>
          <w:bCs/>
          <w:color w:val="000000"/>
          <w:sz w:val="30"/>
          <w:szCs w:val="30"/>
        </w:rPr>
        <w:t xml:space="preserve">3.4 Out-of-distribution robustness</w:t>
      </w:r>
    </w:p>
    <w:p>
      <w:pPr>
        <w:keepNext/>
        <w:spacing w:after="20" w:before="80"/>
        <w:jc w:val="center"/>
      </w:pPr>
      <w:r>
        <w:rPr>
          <w:rFonts w:ascii="Times New Roman" w:eastAsia="SimSun"/>
          <w:b/>
          <w:bCs/>
          <w:sz w:val="21"/>
          <w:szCs w:val="21"/>
        </w:rPr>
        <w:t xml:space="preserve">Table 3-6 OOD robustness for MuZero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Condition</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(MuZero)</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Drop vs ID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ID (Medium)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OOD-SNR (+8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0.738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improved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OOD-PFA (0.15)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−4%</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OOD-N (48 sectors)</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0.181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−73%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OOD-Prior (adversarial)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0.686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OOD-Reverb (+9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r>
    </w:tbl>
    <w:p>
      <w:pPr>
        <w:spacing w:after="60"/>
      </w:pPr>
    </w:p>
    <w:p>
      <w:pPr>
        <w:spacing w:line="24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 does not rely on the belief filter. The critical failure is OOD-N (48 sectors beyond the training maximum of 32): SR drops to 0.181, a −73% degradation shared by all methods, indicating that problem-size generalization remains a common limitation.</w:t>
      </w:r>
    </w:p>
    <w:p>
      <w:pPr>
        <w:spacing w:after="20" w:before="80"/>
        <w:jc w:val="center"/>
      </w:pPr>
      <w:r>
        <w:drawing>
          <wp:inline distT="0" distB="0" distL="0" distR="0">
            <wp:extent cx="5029200" cy="2676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26765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ID vs OOD performance comparison across all methods (blind search)</w:t>
      </w:r>
    </w:p>
    <w:p>
      <w:pPr>
        <w:pStyle w:val="Heading2"/>
        <w:keepNext/>
        <w:spacing w:after="100" w:before="200" w:line="280"/>
      </w:pPr>
      <w:r>
        <w:rPr>
          <w:rFonts w:ascii="Times New Roman" w:eastAsia="SimSun"/>
          <w:b/>
          <w:bCs/>
          <w:color w:val="000000"/>
          <w:sz w:val="30"/>
          <w:szCs w:val="30"/>
        </w:rPr>
        <w:t xml:space="preserve">3.5 Prior-bias robustness</w:t>
      </w:r>
    </w:p>
    <w:p>
      <w:pPr>
        <w:spacing w:after="20" w:before="80"/>
        <w:jc w:val="center"/>
      </w:pPr>
      <w:r>
        <w:drawing>
          <wp:inline distT="0" distB="0" distL="0" distR="0">
            <wp:extent cx="5029200" cy="3771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The sonar sector grid: a circular search area divided into angular sectors, with the target sector highlighted (3D rendering)</w:t>
      </w:r>
    </w:p>
    <w:p>
      <w:pPr>
        <w:spacing w:line="240"/>
        <w:ind w:firstLine="480"/>
        <w:jc w:val="both"/>
      </w:pPr>
      <w:r>
        <w:rPr>
          <w:rFonts w:ascii="Times New Roman" w:eastAsia="SimSun"/>
          <w:color w:val="000000"/>
          <w:sz w:val="24"/>
          <w:szCs w:val="24"/>
        </w:rPr>
        <w:t xml:space="preserve">Belief-Greedy fails completely under biased priors on Hard (SR = 0.000): the greedy policy locks onto the wrong sector and cannot escape within the 20-step budget. Sequential scan is unaffected (SR = 0.432) because it ignores the prior. MuZero recovers partially (SR = 0.278 on Hard with biased prior), showing that its learned policy can correct a wrong prior through observation history — the KL divergence between belief and true target distribution decreases monotonically over pings (Figure 3-10).</w:t>
      </w:r>
    </w:p>
    <w:p>
      <w:pPr>
        <w:spacing w:after="20" w:before="80"/>
        <w:jc w:val="center"/>
      </w:pPr>
      <w:r>
        <w:drawing>
          <wp:inline distT="0" distB="0" distL="0" distR="0">
            <wp:extent cx="5029200" cy="4352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43529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3-11 Prior-bias robustness: four initial belief types (uniform/correct/biased/adversarial) over 16 sectors with true target marked</w:t>
      </w:r>
    </w:p>
    <w:p>
      <w:pPr>
        <w:spacing w:after="20" w:before="80"/>
        <w:jc w:val="center"/>
      </w:pPr>
      <w:r>
        <w:drawing>
          <wp:inline distT="0" distB="0" distL="0" distR="0">
            <wp:extent cx="5029200" cy="34480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34480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3-12 Belief correction over pings: KL divergence from true target under different initial priors</w:t>
      </w:r>
    </w:p>
    <w:p>
      <w:pPr>
        <w:spacing w:after="20" w:before="80"/>
        <w:jc w:val="center"/>
      </w:pPr>
      <w:r>
        <w:drawing>
          <wp:inline distT="0" distB="0" distL="0" distR="0">
            <wp:extent cx="5029200" cy="3771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2-3 The two-level sonar simulation environment: Level 1 detection-probability abstraction vs Level 2 signal-level simulation</w:t>
      </w:r>
    </w:p>
    <w:p>
      <w:pPr>
        <w:pStyle w:val="Heading2"/>
        <w:keepNext/>
        <w:spacing w:after="100" w:before="200" w:line="280"/>
      </w:pPr>
      <w:r>
        <w:rPr>
          <w:rFonts w:ascii="Times New Roman" w:eastAsia="SimSun"/>
          <w:b/>
          <w:bCs/>
          <w:color w:val="000000"/>
          <w:sz w:val="30"/>
          <w:szCs w:val="30"/>
        </w:rPr>
        <w:t xml:space="preserve">3.6 Level-1 vs Level-2 consistency</w:t>
      </w:r>
    </w:p>
    <w:p>
      <w:pPr>
        <w:spacing w:line="24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spacing w:after="20" w:before="80"/>
        <w:jc w:val="center"/>
      </w:pPr>
      <w:r>
        <w:drawing>
          <wp:inline distT="0" distB="0" distL="0" distR="0">
            <wp:extent cx="5029200" cy="22193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22193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3-13 Level-1 vs Level-2 environment comparison (method rankings consistent)</w:t>
      </w:r>
    </w:p>
    <w:p>
      <w:pPr>
        <w:pStyle w:val="Heading2"/>
        <w:keepNext/>
        <w:spacing w:after="100" w:before="200" w:line="280"/>
      </w:pPr>
      <w:r>
        <w:rPr>
          <w:rFonts w:ascii="Times New Roman" w:eastAsia="SimSun"/>
          <w:b/>
          <w:bCs/>
          <w:color w:val="000000"/>
          <w:sz w:val="30"/>
          <w:szCs w:val="30"/>
        </w:rPr>
        <w:t xml:space="preserve">3.7 Mechanism analysis</w:t>
      </w:r>
    </w:p>
    <w:p>
      <w:pPr>
        <w:spacing w:line="24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spacing w:after="20" w:before="80"/>
        <w:jc w:val="center"/>
      </w:pPr>
      <w:r>
        <w:drawing>
          <wp:inline distT="0" distB="0" distL="0" distR="0">
            <wp:extent cx="5029200" cy="3771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3-14 Belief evolution over pings: the belief distribution sharpens from uniform to a single peak as evidence accumulates (3D rendering)</w:t>
      </w:r>
    </w:p>
    <w:p>
      <w:pPr>
        <w:pStyle w:val="Heading2"/>
        <w:keepNext/>
        <w:spacing w:after="100" w:before="200" w:line="280"/>
      </w:pPr>
      <w:r>
        <w:rPr>
          <w:rFonts w:ascii="Times New Roman" w:eastAsia="SimSun"/>
          <w:b/>
          <w:bCs/>
          <w:color w:val="000000"/>
          <w:sz w:val="30"/>
          <w:szCs w:val="30"/>
        </w:rPr>
        <w:t xml:space="preserve">3.8 Computational cost</w:t>
      </w:r>
    </w:p>
    <w:p>
      <w:pPr>
        <w:keepNext/>
        <w:spacing w:after="20" w:before="80"/>
        <w:jc w:val="center"/>
      </w:pPr>
      <w:r>
        <w:rPr>
          <w:rFonts w:ascii="Times New Roman" w:eastAsia="SimSun"/>
          <w:b/>
          <w:bCs/>
          <w:sz w:val="21"/>
          <w:szCs w:val="21"/>
        </w:rPr>
        <w:t xml:space="preserve">Table 3-7 Computational cost comparison (Medium difficulty)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Decision latency (ms)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Training wall-clock (h/seed)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6.7</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2.5</w:t>
            </w:r>
          </w:p>
        </w:tc>
      </w:tr>
    </w:tbl>
    <w:p>
      <w:pPr>
        <w:spacing w:after="60"/>
      </w:pPr>
    </w:p>
    <w:p>
      <w:pPr>
        <w:spacing w:line="240"/>
        <w:ind w:firstLine="480"/>
        <w:jc w:val="both"/>
      </w:pPr>
      <w:r>
        <w:rPr>
          <w:rFonts w:ascii="Times New Roman" w:eastAsia="SimSun"/>
          <w:color w:val="000000"/>
          <w:sz w:val="24"/>
          <w:szCs w:val="24"/>
        </w:rPr>
        <w:t xml:space="preserve">MuZero's advantage comes at a cost: its per-step decision latency is about 6.7 ms versus &lt;0.1 ms for DQN/PPO (a factor of ~220), driven by MCTS with 50 simulations and depth-5 planning. Training wall-clock is also higher (2.5 h/seed vs 0.2 h/seed for DQN). This performance-compute tradeoff is the price of lookahead planning and must be weighed against the detection gain.</w:t>
      </w:r>
    </w:p>
    <w:p>
      <w:pPr>
        <w:spacing w:after="20" w:before="80"/>
        <w:jc w:val="center"/>
      </w:pPr>
      <w:r>
        <w:drawing>
          <wp:inline distT="0" distB="0" distL="0" distR="0">
            <wp:extent cx="5029200" cy="3228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3228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3-16 MCTS simulation count vs decision latency (performance-compute tradeoff)</w:t>
      </w:r>
    </w:p>
    <w:p>
      <w:pPr>
        <w:spacing w:after="20" w:before="80"/>
        <w:jc w:val="center"/>
      </w:pPr>
      <w:r>
        <w:drawing>
          <wp:inline distT="0" distB="0" distL="0" distR="0">
            <wp:extent cx="5029200" cy="3352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3528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3-17 Success rate vs decision latency tradeoff across methods</w:t>
      </w:r>
    </w:p>
    <w:p>
      <w:pPr>
        <w:pStyle w:val="Heading2"/>
        <w:keepNext/>
        <w:spacing w:after="100" w:before="200" w:line="280"/>
      </w:pPr>
      <w:r>
        <w:rPr>
          <w:rFonts w:ascii="Times New Roman" w:eastAsia="SimSun"/>
          <w:b/>
          <w:bCs/>
          <w:color w:val="000000"/>
          <w:sz w:val="30"/>
          <w:szCs w:val="30"/>
        </w:rPr>
        <w:t xml:space="preserve">3.9 Training dynamics</w:t>
      </w:r>
    </w:p>
    <w:p>
      <w:pPr>
        <w:spacing w:line="240"/>
        <w:ind w:firstLine="480"/>
        <w:jc w:val="both"/>
      </w:pPr>
      <w:r>
        <w:rPr>
          <w:rFonts w:ascii="Times New Roman" w:eastAsia="SimSun"/>
          <w:color w:val="000000"/>
          <w:sz w:val="24"/>
          <w:szCs w:val="24"/>
        </w:rPr>
        <w:t xml:space="preserve">Training curves (Figure 3-18) show the learning dynamics of the three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MuZero converges to a higher validation success rate than DQN and PPO.</w:t>
      </w:r>
    </w:p>
    <w:p>
      <w:pPr>
        <w:spacing w:after="20" w:before="80"/>
        <w:jc w:val="center"/>
      </w:pPr>
      <w:r>
        <w:drawing>
          <wp:inline distT="0" distB="0" distL="0" distR="0">
            <wp:extent cx="5029200" cy="2124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1240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3-18 Training curves (episode return and training success rate vs environment steps)</w:t>
      </w:r>
    </w:p>
    <w:p>
      <w:pPr>
        <w:pStyle w:val="Heading2"/>
        <w:keepNext/>
        <w:spacing w:after="100" w:before="200" w:line="280"/>
      </w:pPr>
      <w:r>
        <w:rPr>
          <w:rFonts w:ascii="Times New Roman" w:eastAsia="SimSun"/>
          <w:b/>
          <w:bCs/>
          <w:color w:val="000000"/>
          <w:sz w:val="30"/>
          <w:szCs w:val="30"/>
        </w:rPr>
        <w:t xml:space="preserve">3.10 Case studies</w:t>
      </w:r>
    </w:p>
    <w:p>
      <w:pPr>
        <w:spacing w:line="24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(Figures 3-19 to 3-22) show how each policy's probing logic differs.</w:t>
      </w:r>
    </w:p>
    <w:p>
      <w:pPr>
        <w:pStyle w:val="Heading1"/>
        <w:keepNext/>
        <w:spacing w:after="120" w:before="240" w:line="280"/>
        <w:jc w:val="center"/>
      </w:pPr>
      <w:r>
        <w:rPr>
          <w:rFonts w:ascii="Times New Roman" w:eastAsia="SimSun"/>
          <w:b/>
          <w:bCs/>
          <w:color w:val="000000"/>
          <w:sz w:val="32"/>
          <w:szCs w:val="32"/>
        </w:rPr>
        <w:t xml:space="preserve">4. Discussion</w:t>
      </w:r>
    </w:p>
    <w:p>
      <w:pPr>
        <w:pStyle w:val="Heading2"/>
        <w:keepNext/>
        <w:spacing w:after="100" w:before="200" w:line="280"/>
      </w:pPr>
      <w:r>
        <w:rPr>
          <w:rFonts w:ascii="Times New Roman" w:eastAsia="SimSun"/>
          <w:b/>
          <w:bCs/>
          <w:color w:val="000000"/>
          <w:sz w:val="30"/>
          <w:szCs w:val="30"/>
        </w:rPr>
        <w:t xml:space="preserve">4.1 When does planning pay off?</w:t>
      </w:r>
    </w:p>
    <w:p>
      <w:pPr>
        <w:spacing w:line="24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keepNext/>
        <w:spacing w:after="100" w:before="200" w:line="280"/>
      </w:pPr>
      <w:r>
        <w:rPr>
          <w:rFonts w:ascii="Times New Roman" w:eastAsia="SimSun"/>
          <w:b/>
          <w:bCs/>
          <w:color w:val="000000"/>
          <w:sz w:val="30"/>
          <w:szCs w:val="30"/>
        </w:rPr>
        <w:t xml:space="preserve">4.2 Why does DQN dominate in Regime 1?</w:t>
      </w:r>
    </w:p>
    <w:p>
      <w:pPr>
        <w:spacing w:line="24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keepNext/>
        <w:spacing w:after="100" w:before="200" w:line="280"/>
      </w:pPr>
      <w:r>
        <w:rPr>
          <w:rFonts w:ascii="Times New Roman" w:eastAsia="SimSun"/>
          <w:b/>
          <w:bCs/>
          <w:color w:val="000000"/>
          <w:sz w:val="30"/>
          <w:szCs w:val="30"/>
        </w:rPr>
        <w:t xml:space="preserve">4.3 The role of MCTS and memory</w:t>
      </w:r>
    </w:p>
    <w:p>
      <w:pPr>
        <w:spacing w:line="240"/>
        <w:ind w:firstLine="480"/>
        <w:jc w:val="both"/>
      </w:pPr>
      <w:r>
        <w:rPr>
          <w:rFonts w:ascii="Times New Roman" w:eastAsia="SimSun"/>
          <w:color w:val="000000"/>
          <w:sz w:val="24"/>
          <w:szCs w:val="24"/>
        </w:rPr>
        <w:t xml:space="preserve">Ablation A shows that MCTS contributes +0.18 SR in blind search — the single largest component. Ablation E shows GRU memory contributes +0.07. Together they explain why MuZero wins when observation is degraded: the GRU accumulates evidence over pings, and MCTS evaluates multi-step consequences of probing choices. Neither alone is sufficient; the combination is.</w:t>
      </w:r>
    </w:p>
    <w:p>
      <w:pPr>
        <w:pStyle w:val="Heading2"/>
        <w:keepNext/>
        <w:spacing w:after="100" w:before="200" w:line="280"/>
      </w:pPr>
      <w:r>
        <w:rPr>
          <w:rFonts w:ascii="Times New Roman" w:eastAsia="SimSun"/>
          <w:b/>
          <w:bCs/>
          <w:color w:val="000000"/>
          <w:sz w:val="30"/>
          <w:szCs w:val="30"/>
        </w:rPr>
        <w:t xml:space="preserve">4.4 Limitations</w:t>
      </w:r>
    </w:p>
    <w:p>
      <w:pPr>
        <w:spacing w:line="240"/>
        <w:ind w:firstLine="480"/>
        <w:jc w:val="both"/>
      </w:pPr>
      <w:r>
        <w:rPr>
          <w:rFonts w:ascii="Times New Roman" w:eastAsia="SimSun"/>
          <w:color w:val="000000"/>
          <w:sz w:val="24"/>
          <w:szCs w:val="24"/>
        </w:rPr>
        <w:t xml:space="preserve">Several limitations must be noted. First,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w:t>
      </w:r>
    </w:p>
    <w:p>
      <w:pPr>
        <w:pStyle w:val="Heading2"/>
        <w:keepNext/>
        <w:spacing w:after="100" w:before="200" w:line="280"/>
      </w:pPr>
      <w:r>
        <w:rPr>
          <w:rFonts w:ascii="Times New Roman" w:eastAsia="SimSun"/>
          <w:b/>
          <w:bCs/>
          <w:color w:val="000000"/>
          <w:sz w:val="30"/>
          <w:szCs w:val="30"/>
        </w:rPr>
        <w:t xml:space="preserve">4.5 Implications for adaptive sonar design</w:t>
      </w:r>
    </w:p>
    <w:p>
      <w:pPr>
        <w:spacing w:line="240"/>
        <w:ind w:firstLine="480"/>
        <w:jc w:val="both"/>
      </w:pPr>
      <w:r>
        <w:rPr>
          <w:rFonts w:ascii="Times New Roman" w:eastAsia="SimSun"/>
          <w:color w:val="000000"/>
          <w:sz w:val="24"/>
          <w:szCs w:val="24"/>
        </w:rPr>
        <w:t xml:space="preserve">The practical implication is a conditional design rule: use reactive policies when a well-calibrated belief is available; switch to MuZero-style planning when the observation structure degrades belief sufficiency — for example, when the detection probability is unknown a priori, when priors are adversarial, or when the sensor cannot maintain a reliable belief filter. The sequential scan, despite being information-free, sets a robust floor and should not be dismissed as a baseline.</w:t>
      </w:r>
    </w:p>
    <w:p>
      <w:pPr>
        <w:pStyle w:val="Heading1"/>
        <w:keepNext/>
        <w:spacing w:after="120" w:before="240" w:line="280"/>
        <w:jc w:val="center"/>
      </w:pPr>
      <w:r>
        <w:rPr>
          <w:rFonts w:ascii="Times New Roman" w:eastAsia="SimSun"/>
          <w:b/>
          <w:bCs/>
          <w:color w:val="000000"/>
          <w:sz w:val="32"/>
          <w:szCs w:val="32"/>
        </w:rPr>
        <w:t xml:space="preserve">5. Conclusion</w:t>
      </w:r>
    </w:p>
    <w:p>
      <w:pPr>
        <w:spacing w:line="24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(five seeds, paired scenarios, Holm-corrected statistical tests). Our results show that MuZero's advantage is conditional on the observation regime: when belief is directly observable, reactive methods win; when the agent must infer target state from raw interaction history, MuZero significantly outperforms all learned baselines (ΔSR +0.15 to +0.38, p &lt; 0.001). The contribution is not a new algorithm but a boundary characterization — a map of when learned planning pays off in active sonar search. Future work will extend to continuous beam steering, waveform parameter adaptation, moving targets, multi-target scenarios, and real sea trials.</w:t>
      </w:r>
    </w:p>
    <w:p>
      <w:pPr>
        <w:pStyle w:val="Heading1"/>
        <w:keepNext/>
        <w:spacing w:after="120" w:before="240" w:line="280"/>
        <w:jc w:val="center"/>
      </w:pPr>
      <w:r>
        <w:rPr>
          <w:rFonts w:ascii="Times New Roman" w:eastAsia="SimSun"/>
          <w:b/>
          <w:bCs/>
          <w:color w:val="000000"/>
          <w:sz w:val="32"/>
          <w:szCs w:val="32"/>
        </w:rPr>
        <w:t xml:space="preserve">Declarations</w:t>
      </w:r>
    </w:p>
    <w:p>
      <w:pPr>
        <w:spacing w:line="240"/>
        <w:jc w:val="both"/>
      </w:pPr>
      <w:r>
        <w:rPr>
          <w:rFonts w:ascii="Times New Roman" w:eastAsia="SimSun"/>
          <w:color w:val="000000"/>
          <w:sz w:val="24"/>
          <w:szCs w:val="24"/>
        </w:rPr>
        <w:t xml:space="preserve">Funding: Not applicable.</w:t>
      </w:r>
    </w:p>
    <w:p>
      <w:pPr>
        <w:spacing w:line="240"/>
        <w:jc w:val="both"/>
      </w:pPr>
      <w:r>
        <w:rPr>
          <w:rFonts w:ascii="Times New Roman" w:eastAsia="SimSun"/>
          <w:color w:val="000000"/>
          <w:sz w:val="24"/>
          <w:szCs w:val="24"/>
        </w:rPr>
        <w:t xml:space="preserve">Competing interests: The authors declare no competing interests.</w:t>
      </w:r>
    </w:p>
    <w:p>
      <w:pPr>
        <w:spacing w:line="24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24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keepNext/>
        <w:spacing w:after="120" w:before="240" w:line="280"/>
        <w:jc w:val="center"/>
      </w:pPr>
      <w:r>
        <w:rPr>
          <w:rFonts w:ascii="Times New Roman" w:eastAsia="SimSun"/>
          <w:b/>
          <w:bCs/>
          <w:color w:val="000000"/>
          <w:sz w:val="32"/>
          <w:szCs w:val="32"/>
        </w:rPr>
        <w:t xml:space="preserve">References</w:t>
      </w:r>
    </w:p>
    <w:p>
      <w:pPr>
        <w:spacing w:line="240"/>
        <w:ind w:left="420" w:hanging="420"/>
      </w:pPr>
      <w:r>
        <w:rPr>
          <w:rFonts w:ascii="Times New Roman" w:eastAsia="SimSun"/>
          <w:sz w:val="21"/>
          <w:szCs w:val="21"/>
        </w:rPr>
        <w:t xml:space="preserve">[1] Urick R J. Principles of Underwater Sound. 3rd ed. New York: McGraw-Hill, 1983.</w:t>
      </w:r>
    </w:p>
    <w:p>
      <w:pPr>
        <w:spacing w:line="24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24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24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240"/>
        <w:ind w:left="420" w:hanging="420"/>
      </w:pPr>
      <w:r>
        <w:rPr>
          <w:rFonts w:ascii="Times New Roman" w:eastAsia="SimSun"/>
          <w:sz w:val="21"/>
          <w:szCs w:val="21"/>
        </w:rPr>
        <w:t xml:space="preserve">[5] Schulman J, Wolski F, Dhariwal P, et al. Proximal policy optimization algorithms. arXiv preprint arXiv:1707.06347, 2017.</w:t>
      </w:r>
    </w:p>
    <w:p>
      <w:pPr>
        <w:spacing w:line="240"/>
        <w:ind w:left="420" w:hanging="420"/>
      </w:pPr>
      <w:r>
        <w:rPr>
          <w:rFonts w:ascii="Times New Roman" w:eastAsia="SimSun"/>
          <w:sz w:val="21"/>
          <w:szCs w:val="21"/>
        </w:rPr>
        <w:t xml:space="preserve">[6] Haykin S. Cognitive radar: a way of the future. IEEE Signal Processing Magazine, 2006, 23(1): 30-40.</w:t>
      </w:r>
    </w:p>
    <w:p>
      <w:pPr>
        <w:spacing w:line="24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24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24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24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24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24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24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24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24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24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24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24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24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24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24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24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24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24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24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24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24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24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24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24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24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24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24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340e265634f05178f5a036b4a26763f97798f68.png"/><Relationship Id="rId10" Type="http://schemas.openxmlformats.org/officeDocument/2006/relationships/image" Target="media/51d0cf06c15f909b7d1a5fef4bf4d1c3e728574a.png"/><Relationship Id="rId11" Type="http://schemas.openxmlformats.org/officeDocument/2006/relationships/image" Target="media/3b5fe7cf3f6f05617cdd0f900d81e985c77cbb87.png"/><Relationship Id="rId12" Type="http://schemas.openxmlformats.org/officeDocument/2006/relationships/image" Target="media/e616105a49eef46ac14fc5c8029198417864c43b.png"/><Relationship Id="rId13" Type="http://schemas.openxmlformats.org/officeDocument/2006/relationships/image" Target="media/8350d81e375b0b87a8fa5aef15a7886819770b79.png"/><Relationship Id="rId14" Type="http://schemas.openxmlformats.org/officeDocument/2006/relationships/image" Target="media/8f2fb5d4c590ebff6bba30fb62550076a28f214b.png"/><Relationship Id="rId15" Type="http://schemas.openxmlformats.org/officeDocument/2006/relationships/image" Target="media/964c5f18c7c847a107637d65713737c612d482fa.png"/><Relationship Id="rId16" Type="http://schemas.openxmlformats.org/officeDocument/2006/relationships/image" Target="media/9db1faa94b86e42ac34da1ab8468b173a8efb0b0.png"/><Relationship Id="rId17" Type="http://schemas.openxmlformats.org/officeDocument/2006/relationships/image" Target="media/35a73f71f7a07da9117c04d1416f0135d3b010af.png"/><Relationship Id="rId18" Type="http://schemas.openxmlformats.org/officeDocument/2006/relationships/image" Target="media/43aa11f92939136fd78e5e2dbd0db46c4c2c87c9.png"/><Relationship Id="rId19" Type="http://schemas.openxmlformats.org/officeDocument/2006/relationships/image" Target="media/689c82033720039497edd1e507e5226a6bc8846d.png"/><Relationship Id="rId20" Type="http://schemas.openxmlformats.org/officeDocument/2006/relationships/image" Target="media/596530398fab940a0213aa6741468aa4e164283f.png"/><Relationship Id="rId21" Type="http://schemas.openxmlformats.org/officeDocument/2006/relationships/image" Target="media/be42dfe6c02afc45d917f5819b55a0cc3fe50fb3.png"/><Relationship Id="rId22" Type="http://schemas.openxmlformats.org/officeDocument/2006/relationships/image" Target="media/150cd9bc410232d0ed57136101b839c00a767fcc.png"/><Relationship Id="rId23" Type="http://schemas.openxmlformats.org/officeDocument/2006/relationships/image" Target="media/683a4383e9a2189c6e5bb24e7e91c15edd73b86f.png"/><Relationship Id="rId24" Type="http://schemas.openxmlformats.org/officeDocument/2006/relationships/image" Target="media/69d2517b049dd7e4987e4b4a688df3daa72610ed.png"/><Relationship Id="rId25" Type="http://schemas.openxmlformats.org/officeDocument/2006/relationships/image" Target="media/ac7b654a660b4e18e645eba77261dd4c9077c643.png"/><Relationship Id="rId26" Type="http://schemas.openxmlformats.org/officeDocument/2006/relationships/image" Target="media/cd7364d390395b05451b53ca1c6bda2ee716d41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2026-10-15T10:18:40.167Z</dcterms:created>
  <dcterms:modified xsi:type="dcterms:W3CDTF">2026-10-15T10:18:40.168Z</dcterms:modified>
</cp:coreProperties>
</file>

<file path=docProps/custom.xml><?xml version="1.0" encoding="utf-8"?>
<Properties xmlns="http://schemas.openxmlformats.org/officeDocument/2006/custom-properties" xmlns:vt="http://schemas.openxmlformats.org/officeDocument/2006/docPropsVTypes"/>
</file>