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80" w:line="520"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100" w:before="100"/>
        <w:jc w:val="center"/>
      </w:pPr>
      <w:r>
        <w:rPr>
          <w:rFonts w:ascii="Times New Roman" w:eastAsia="SimSun"/>
          <w:sz w:val="24"/>
          <w:szCs w:val="24"/>
        </w:rPr>
        <w:t xml:space="preserve">Rui Tan1, Fei Hu1*</w:t>
      </w:r>
    </w:p>
    <w:p>
      <w:pPr>
        <w:spacing w:after="160"/>
        <w:jc w:val="center"/>
      </w:pPr>
      <w:r>
        <w:rPr>
          <w:rFonts w:ascii="Times New Roman" w:eastAsia="SimSun"/>
          <w:sz w:val="20"/>
          <w:szCs w:val="20"/>
        </w:rPr>
        <w:t xml:space="preserve">1 School of Computer Science and Engineering (School of Artificial Intelligence), 【University Name】</w:t>
      </w:r>
    </w:p>
    <w:p>
      <w:pPr>
        <w:spacing w:after="160" w:before="60"/>
        <w:jc w:val="center"/>
      </w:pPr>
      <w:r>
        <w:rPr>
          <w:rFonts w:ascii="Times New Roman" w:eastAsia="SimSun"/>
          <w:sz w:val="20"/>
          <w:szCs w:val="20"/>
        </w:rPr>
        <w:t xml:space="preserve">*Corresponding author: 【advisor email】</w:t>
      </w:r>
    </w:p>
    <w:p>
      <w:pPr>
        <w:spacing w:after="100" w:before="120" w:line="240"/>
        <w:jc w:val="center"/>
      </w:pPr>
      <w:r>
        <w:rPr>
          <w:rFonts w:ascii="Times New Roman" w:eastAsia="SimSun"/>
          <w:b/>
          <w:bCs/>
          <w:sz w:val="26"/>
          <w:szCs w:val="26"/>
        </w:rPr>
        <w:t xml:space="preserve">Abstract</w:t>
      </w:r>
    </w:p>
    <w:p>
      <w:pPr>
        <w:spacing w:line="24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eight baselines — Sequential, Random, Belief-Greedy, DQN, PPO, memory-augmented DQN-GRU and PPO-Stack, and POMCP, an online POMDP planner with access to the true observation model — across Easy/Medium/Hard difficulties, five independent seeds, 1000 paired evaluation episodes per condition, and Holm-corrected paired statistical tests. Four findings emerge. First, when a calibrated belief map is directly observable, reactive methods dominate (Belief-Greedy SR=0.96, DQN SR=0.92), and MuZero underperforms (SR=0.61). Second, under a blind-search regime where the belief is not observable, MuZero significantly outperforms every learned baseline on Medium and Hard (Medium SR=0.679 vs DQN 0.335, PPO 0.303, DQN-GRU 0.448, PPO-Stack 0.339; all Holm p&lt;0.001), and a memory-versus-planning decomposition shows that recurrent memory alone (DQN-GRU) recovers only one-third of the gap over DQN, the remainder coming from MCTS lookahead over the learned model (+0.18 in ablation). Third, POMCP with the true observation model sets an oracle ceiling (Medium SR=0.911), quantifying the headroom that remains for learned models; yet under biased priors (Hard) the same planner collapses (SR=0.173), as does Belief-Greedy (SR=0.000), while MuZero remains the best learned policy (SR=0.278, +0.104 over POMCP, p&lt;0.001). Fourth, the information-free sequential scan is the most robust policy on Hard (SR=0.432) and should not be dismissed as a baseline. These results delineate the conditions under which MuZero-style planning pays off: planning matters when observation structure degrades belief sufficiency, and a learned model is more robust to prior misspecification than exact inference over a wrong prior.</w:t>
      </w:r>
    </w:p>
    <w:p>
      <w:pPr>
        <w:spacing w:before="120" w:line="240"/>
        <w:ind w:firstLine="480"/>
        <w:jc w:val="both"/>
        <w:sectPr>
          <w:pgSz w:w="11906" w:h="16838" w:orient="portrait"/>
          <w:pgMar w:top="1440" w:right="1417" w:bottom="1440" w:left="1701" w:header="708" w:footer="708" w:gutter="0"/>
          <w:pgNumType/>
          <w:docGrid w:linePitch="360"/>
        </w:sectPr>
      </w:pPr>
      <w:r>
        <w:rPr>
          <w:rFonts w:ascii="Times New Roman" w:eastAsia="SimSun"/>
          <w:b/>
          <w:bCs/>
          <w:sz w:val="24"/>
          <w:szCs w:val="24"/>
        </w:rPr>
        <w:t xml:space="preserve">Keywords: active sonar; MuZero; reinforcement learning; POMDP; Bayesian belief; Monte-Carlo tree search; sequential detection</w:t>
      </w:r>
    </w:p>
    <w:p>
      <w:pPr>
        <w:pStyle w:val="Heading1"/>
        <w:keepNext/>
        <w:spacing w:after="80" w:before="160" w:line="280"/>
        <w:jc w:val="center"/>
      </w:pPr>
      <w:r>
        <w:rPr>
          <w:rFonts w:ascii="Times New Roman" w:eastAsia="SimSun"/>
          <w:b/>
          <w:bCs/>
          <w:color w:val="000000"/>
          <w:sz w:val="32"/>
          <w:szCs w:val="32"/>
        </w:rPr>
        <w:t xml:space="preserve">1. Introduction</w:t>
      </w:r>
    </w:p>
    <w:p>
      <w:pPr>
        <w:pStyle w:val="Heading2"/>
        <w:keepNext/>
        <w:spacing w:after="60" w:before="130" w:line="280"/>
      </w:pPr>
      <w:r>
        <w:rPr>
          <w:rFonts w:ascii="Times New Roman" w:eastAsia="SimSun"/>
          <w:b/>
          <w:bCs/>
          <w:color w:val="000000"/>
          <w:sz w:val="30"/>
          <w:szCs w:val="30"/>
        </w:rPr>
        <w:t xml:space="preserve">1.1 Background and motivation</w:t>
      </w:r>
    </w:p>
    <w:p>
      <w:pPr>
        <w:spacing w:line="24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w:t>
      </w:r>
      <w:r>
        <w:rPr>
          <w:rFonts w:ascii="Times New Roman" w:eastAsia="SimSun"/>
          <w:color w:val="000000"/>
          <w:sz w:val="24"/>
          <w:szCs w:val="24"/>
          <w:vertAlign w:val="superscript"/>
        </w:rPr>
        <w:t xml:space="preserve">[1]</w:t>
      </w:r>
      <w:r>
        <w:rPr>
          <w:rFonts w:ascii="Times New Roman" w:eastAsia="SimSun"/>
          <w:color w:val="000000"/>
          <w:sz w:val="24"/>
          <w:szCs w:val="24"/>
        </w:rPr>
        <w:t xml:space="preserve">, making active sonar the primary and most effective means of remote underwater detection.</w:t>
      </w:r>
    </w:p>
    <w:p>
      <w:pPr>
        <w:spacing w:line="24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w:t>
      </w:r>
      <w:r>
        <w:rPr>
          <w:rFonts w:ascii="Times New Roman" w:eastAsia="SimSun"/>
          <w:color w:val="000000"/>
          <w:sz w:val="24"/>
          <w:szCs w:val="24"/>
          <w:vertAlign w:val="superscript"/>
        </w:rPr>
        <w:t xml:space="preserve">[1][8]</w:t>
      </w:r>
      <w:r>
        <w:rPr>
          <w:rFonts w:ascii="Times New Roman" w:eastAsia="SimSun"/>
          <w:color w:val="000000"/>
          <w:sz w:val="24"/>
          <w:szCs w:val="24"/>
        </w:rPr>
        <w:t xml:space="preserve">. When the target position is highly uncertain and the environment varies, this fixed policy wastes emission resources on low-value bearings, leading to low detection efficiency, high energy cost, and high exposure risk.</w:t>
      </w:r>
    </w:p>
    <w:p>
      <w:pPr>
        <w:keepNext/>
        <w:spacing w:after="6" w:before="40"/>
        <w:jc w:val="center"/>
      </w:pPr>
      <w:r>
        <w:drawing>
          <wp:inline distT="0" distB="0" distL="0" distR="0">
            <wp:extent cx="40195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1-1 The adaptive cognitive sonar closed-loop: (a) four-stage transmit-observe-cognize-adapt cycle, (b) sector grid with belief heatmap and current beam, (c) Swerling-I detection model</w:t>
      </w:r>
    </w:p>
    <w:p>
      <w:pPr>
        <w:spacing w:line="24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w:t>
      </w:r>
      <w:r>
        <w:rPr>
          <w:rFonts w:ascii="Times New Roman" w:eastAsia="SimSun"/>
          <w:color w:val="000000"/>
          <w:sz w:val="24"/>
          <w:szCs w:val="24"/>
          <w:vertAlign w:val="superscript"/>
        </w:rPr>
        <w:t xml:space="preserve">[6][7]</w:t>
      </w:r>
      <w:r>
        <w:rPr>
          <w:rFonts w:ascii="Times New Roman" w:eastAsia="SimSun"/>
          <w:color w:val="000000"/>
          <w:sz w:val="24"/>
          <w:szCs w:val="24"/>
        </w:rPr>
        <w:t xml:space="preserve">.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keepNext/>
        <w:spacing w:after="6" w:before="40"/>
        <w:jc w:val="center"/>
      </w:pPr>
      <w:r>
        <w:drawing>
          <wp:inline distT="0" distB="0" distL="0" distR="0">
            <wp:extent cx="3829050" cy="2876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29050"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1-2 The active sonar search scenario: (a) sector grid + belief heatmap, (b) Swerling-I detection model, (c) beam directivity, (d) belief evolution over pings</w:t>
      </w:r>
    </w:p>
    <w:p>
      <w:pPr>
        <w:spacing w:line="24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w:t>
      </w:r>
      <w:r>
        <w:rPr>
          <w:rFonts w:ascii="Times New Roman" w:eastAsia="SimSun"/>
          <w:color w:val="000000"/>
          <w:sz w:val="24"/>
          <w:szCs w:val="24"/>
          <w:vertAlign w:val="superscript"/>
        </w:rPr>
        <w:t xml:space="preserve">[30][31][32]</w:t>
      </w:r>
      <w:r>
        <w:rPr>
          <w:rFonts w:ascii="Times New Roman" w:eastAsia="SimSun"/>
          <w:color w:val="000000"/>
          <w:sz w:val="24"/>
          <w:szCs w:val="24"/>
        </w:rPr>
        <w:t xml:space="preserve">,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keepNext/>
        <w:spacing w:after="60" w:before="130" w:line="280"/>
      </w:pPr>
      <w:r>
        <w:rPr>
          <w:rFonts w:ascii="Times New Roman" w:eastAsia="SimSun"/>
          <w:b/>
          <w:bCs/>
          <w:color w:val="000000"/>
          <w:sz w:val="30"/>
          <w:szCs w:val="30"/>
        </w:rPr>
        <w:t xml:space="preserve">1.2 Why MuZero</w:t>
      </w:r>
    </w:p>
    <w:p>
      <w:pPr>
        <w:spacing w:line="24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w:t>
      </w:r>
      <w:r>
        <w:rPr>
          <w:rFonts w:ascii="Times New Roman" w:eastAsia="SimSun"/>
          <w:color w:val="000000"/>
          <w:sz w:val="24"/>
          <w:szCs w:val="24"/>
          <w:vertAlign w:val="superscript"/>
        </w:rPr>
        <w:t xml:space="preserve">[2]</w:t>
      </w:r>
      <w:r>
        <w:rPr>
          <w:rFonts w:ascii="Times New Roman" w:eastAsia="SimSun"/>
          <w:color w:val="000000"/>
          <w:sz w:val="24"/>
          <w:szCs w:val="24"/>
        </w:rPr>
        <w:t xml:space="preserve">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24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keepNext/>
        <w:spacing w:after="60" w:before="130" w:line="280"/>
      </w:pPr>
      <w:r>
        <w:rPr>
          <w:rFonts w:ascii="Times New Roman" w:eastAsia="SimSun"/>
          <w:b/>
          <w:bCs/>
          <w:color w:val="000000"/>
          <w:sz w:val="30"/>
          <w:szCs w:val="30"/>
        </w:rPr>
        <w:t xml:space="preserve">1.3 Research questions and hypotheses</w:t>
      </w:r>
    </w:p>
    <w:p>
      <w:pPr>
        <w:spacing w:line="24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keepNext/>
        <w:spacing w:after="60" w:before="130" w:line="280"/>
      </w:pPr>
      <w:r>
        <w:rPr>
          <w:rFonts w:ascii="Times New Roman" w:eastAsia="SimSun"/>
          <w:b/>
          <w:bCs/>
          <w:color w:val="000000"/>
          <w:sz w:val="30"/>
          <w:szCs w:val="30"/>
        </w:rPr>
        <w:t xml:space="preserve">1.4 Contributions</w:t>
      </w:r>
    </w:p>
    <w:p>
      <w:pPr>
        <w:spacing w:line="24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eight baselines spanning heuristics, model-free RL, memory-augmented RL (DQN-GRU, PPO-Stack), and a known-model POMDP planner (POMCP). (2) We provide a boundary characterization — we identify the observation-regime and prior-quality conditions under which model-based planning outperforms reactive policies, and show that reactive and oracle-model methods dominate when a reliable belief is available, while learned planning dominates once priors are misspecified. (3) We demonstrate through ablations and a memory-versus-planning decomposition that MuZero's advantage in blind search comes from MCTS lookahead on top of recurrent memory — memory alone (DQN-GRU) recovers only part of the gap —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keepNext/>
        <w:spacing w:after="80" w:before="160" w:line="280"/>
        <w:jc w:val="center"/>
      </w:pPr>
      <w:r>
        <w:rPr>
          <w:rFonts w:ascii="Times New Roman" w:eastAsia="SimSun"/>
          <w:b/>
          <w:bCs/>
          <w:color w:val="000000"/>
          <w:sz w:val="32"/>
          <w:szCs w:val="32"/>
        </w:rPr>
        <w:t xml:space="preserve">2. Methods</w:t>
      </w:r>
    </w:p>
    <w:p>
      <w:pPr>
        <w:keepNext/>
        <w:spacing w:after="6" w:before="40"/>
        <w:jc w:val="center"/>
      </w:pPr>
      <w:r>
        <w:drawing>
          <wp:inline distT="0" distB="0" distL="0" distR="0">
            <wp:extent cx="3838575"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3857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2-1 Overall system architecture: six layers with dual channels (real environment and MuZero latent planning)</w:t>
      </w:r>
    </w:p>
    <w:p>
      <w:pPr>
        <w:pStyle w:val="Heading2"/>
        <w:keepNext/>
        <w:spacing w:after="60" w:before="130" w:line="280"/>
      </w:pPr>
      <w:r>
        <w:rPr>
          <w:rFonts w:ascii="Times New Roman" w:eastAsia="SimSun"/>
          <w:b/>
          <w:bCs/>
          <w:color w:val="000000"/>
          <w:sz w:val="30"/>
          <w:szCs w:val="30"/>
        </w:rPr>
        <w:t xml:space="preserve">2.1 Task formalization: POMDP for active detection</w:t>
      </w:r>
    </w:p>
    <w:p>
      <w:pPr>
        <w:spacing w:line="24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16" w:before="16" w:line="240"/>
        <w:jc w:val="center"/>
      </w:pPr>
      <w:r>
        <w:t xml:space="preserve">	</w:t>
      </w:r>
      <m:oMath>
        <m:r>
          <m:t>J(π) = E_π [ R_D · 1{T_D ≤ T_max} − λ₁ T_D − λ₂ C_E − λ₃ N_FA ]</m:t>
        </m:r>
      </m:oMath>
      <w:r>
        <w:t xml:space="preserve">	(1)</w:t>
      </w:r>
    </w:p>
    <w:p>
      <w:pPr>
        <w:spacing w:line="24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24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16" w:before="16" w:line="240"/>
        <w:jc w:val="center"/>
      </w:pPr>
      <w:r>
        <w:t xml:space="preserve">	</w:t>
      </w:r>
      <m:oMath>
        <m:r>
          <m:t>b_t(i) = P(x = i | H_t),   Σᵢ b_t(i) = 1</m:t>
        </m:r>
      </m:oMath>
      <w:r>
        <w:t xml:space="preserve">	(4)</w:t>
      </w:r>
    </w:p>
    <w:p>
      <w:pPr>
        <w:spacing w:line="24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16" w:before="16" w:line="240"/>
        <w:jc w:val="center"/>
      </w:pPr>
      <w:r>
        <w:t xml:space="preserve">	</w:t>
      </w:r>
      <m:oMath>
        <m:f>
          <m:num>
            <m:r>
              <m:t>P(o_{t+1} | x = i, a_t) b_t(i)</m:t>
            </m:r>
          </m:num>
          <m:den>
            <m:r>
              <m:t>Σ_j P(o_{t+1} | x = j, a_t) b_t(j)</m:t>
            </m:r>
          </m:den>
        </m:f>
      </m:oMath>
      <w:r>
        <w:t xml:space="preserve">	(5)</w:t>
      </w:r>
    </w:p>
    <w:p>
      <w:pPr>
        <w:spacing w:line="24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keepNext/>
        <w:spacing w:after="6" w:before="40"/>
        <w:jc w:val="center"/>
      </w:pPr>
      <w:r>
        <w:drawing>
          <wp:inline distT="0" distB="0" distL="0" distR="0">
            <wp:extent cx="3838575" cy="2876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3857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2-2 The POMDP interaction loop: hidden target sector, active sonar emission, observation, Bayesian belief update, and policy action</w:t>
      </w:r>
    </w:p>
    <w:p>
      <w:pPr>
        <w:pStyle w:val="Heading2"/>
        <w:keepNext/>
        <w:spacing w:after="60" w:before="130" w:line="280"/>
      </w:pPr>
      <w:r>
        <w:rPr>
          <w:rFonts w:ascii="Times New Roman" w:eastAsia="SimSun"/>
          <w:b/>
          <w:bCs/>
          <w:color w:val="000000"/>
          <w:sz w:val="30"/>
          <w:szCs w:val="30"/>
        </w:rPr>
        <w:t xml:space="preserve">2.2 Acoustic environment model</w:t>
      </w:r>
    </w:p>
    <w:p>
      <w:pPr>
        <w:spacing w:line="24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16" w:before="16" w:line="240"/>
        <w:jc w:val="center"/>
      </w:pPr>
      <w:r>
        <w:t xml:space="preserve">	</w:t>
      </w:r>
      <m:oMath>
        <m:r>
          <m:t>s(t) = A · rect(t/T_p) · cos(2π(f₀t + ½kt²))</m:t>
        </m:r>
      </m:oMath>
      <w:r>
        <w:t xml:space="preserve">	(6)</w:t>
      </w:r>
    </w:p>
    <w:p>
      <w:pPr>
        <w:spacing w:line="24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16" w:before="16" w:line="240"/>
        <w:jc w:val="center"/>
      </w:pPr>
      <w:r>
        <w:t xml:space="preserve">	</w:t>
      </w:r>
      <m:oMath>
        <m:r>
          <m:t>y(t) = α s(t − τ) + c(t) + n(t)</m:t>
        </m:r>
      </m:oMath>
      <w:r>
        <w:t xml:space="preserve">	(7)</w:t>
      </w:r>
    </w:p>
    <w:p>
      <w:pPr>
        <w:spacing w:line="24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16" w:before="16" w:line="240"/>
        <w:jc w:val="center"/>
      </w:pPr>
      <w:r>
        <w:t xml:space="preserve">	</w:t>
      </w:r>
      <m:oMath>
        <m:f>
          <m:num>
            <m:r>
              <m:t>c τ</m:t>
            </m:r>
          </m:num>
          <m:den>
            <m:r>
              <m:t>2</m:t>
            </m:r>
          </m:den>
        </m:f>
        <m:r>
          <m:t xml:space="preserve">  ⟹  R = cτ/2</m:t>
        </m:r>
      </m:oMath>
      <w:r>
        <w:t xml:space="preserve">	(8)</w:t>
      </w:r>
    </w:p>
    <w:p>
      <w:pPr>
        <w:spacing w:line="240"/>
        <w:ind w:firstLine="480"/>
        <w:jc w:val="both"/>
      </w:pPr>
      <w:r>
        <w:rPr>
          <w:rFonts w:ascii="Times New Roman" w:eastAsia="SimSun"/>
          <w:color w:val="000000"/>
          <w:sz w:val="24"/>
          <w:szCs w:val="24"/>
        </w:rPr>
        <w:t xml:space="preserve">where c is the speed of sound in water (≈ 1500 m/s).</w:t>
      </w:r>
    </w:p>
    <w:p>
      <w:pPr>
        <w:spacing w:line="240"/>
        <w:ind w:firstLine="480"/>
        <w:jc w:val="both"/>
      </w:pPr>
      <w:r>
        <w:rPr>
          <w:rFonts w:ascii="Times New Roman" w:eastAsia="SimSun"/>
          <w:color w:val="000000"/>
          <w:sz w:val="24"/>
          <w:szCs w:val="24"/>
        </w:rPr>
        <w:t xml:space="preserve">Propagation loss follows a parameterized model of spherical spreading plus absorption </w:t>
      </w:r>
      <w:r>
        <w:rPr>
          <w:rFonts w:ascii="Times New Roman" w:eastAsia="SimSun"/>
          <w:color w:val="000000"/>
          <w:sz w:val="24"/>
          <w:szCs w:val="24"/>
          <w:vertAlign w:val="superscript"/>
        </w:rPr>
        <w:t xml:space="preserve">[1]</w:t>
      </w:r>
      <w:r>
        <w:rPr>
          <w:rFonts w:ascii="Times New Roman" w:eastAsia="SimSun"/>
          <w:color w:val="000000"/>
          <w:sz w:val="24"/>
          <w:szCs w:val="24"/>
        </w:rPr>
        <w:t xml:space="preserve">:</w:t>
      </w:r>
    </w:p>
    <w:p>
      <w:pPr>
        <w:tabs>
          <w:tab w:val="center" w:pos="4500"/>
          <w:tab w:val="right" w:pos="9000"/>
        </w:tabs>
        <w:spacing w:after="16" w:before="16" w:line="240"/>
        <w:jc w:val="center"/>
      </w:pPr>
      <w:r>
        <w:t xml:space="preserve">	</w:t>
      </w:r>
      <m:oMath>
        <m:r>
          <m:t>TL(R) = 20 log₁₀(R) + α_f R</m:t>
        </m:r>
      </m:oMath>
      <w:r>
        <w:t xml:space="preserve">	(9)</w:t>
      </w:r>
    </w:p>
    <w:p>
      <w:pPr>
        <w:spacing w:line="24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24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16" w:before="16" w:line="240"/>
        <w:jc w:val="center"/>
      </w:pPr>
      <w:r>
        <w:t xml:space="preserve">	</w:t>
      </w:r>
      <m:oMath>
        <m:r>
          <m:t>G(Δθ) = exp( −Δθ² / (2σ_b²) )</m:t>
        </m:r>
      </m:oMath>
      <w:r>
        <w:t xml:space="preserve">	(10)</w:t>
      </w:r>
    </w:p>
    <w:p>
      <w:pPr>
        <w:spacing w:line="24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240"/>
        <w:ind w:firstLine="480"/>
        <w:jc w:val="both"/>
      </w:pPr>
      <w:r>
        <w:rPr>
          <w:rFonts w:ascii="Times New Roman" w:eastAsia="SimSun"/>
          <w:color w:val="000000"/>
          <w:sz w:val="24"/>
          <w:szCs w:val="24"/>
        </w:rPr>
        <w:t xml:space="preserve">The effective echo SNR per ping is given by the active sonar equation (in dB) </w:t>
      </w:r>
      <w:r>
        <w:rPr>
          <w:rFonts w:ascii="Times New Roman" w:eastAsia="SimSun"/>
          <w:color w:val="000000"/>
          <w:sz w:val="24"/>
          <w:szCs w:val="24"/>
          <w:vertAlign w:val="superscript"/>
        </w:rPr>
        <w:t xml:space="preserve">[1]</w:t>
      </w:r>
      <w:r>
        <w:rPr>
          <w:rFonts w:ascii="Times New Roman" w:eastAsia="SimSun"/>
          <w:color w:val="000000"/>
          <w:sz w:val="24"/>
          <w:szCs w:val="24"/>
        </w:rPr>
        <w:t xml:space="preserve">:</w:t>
      </w:r>
    </w:p>
    <w:p>
      <w:pPr>
        <w:tabs>
          <w:tab w:val="center" w:pos="4500"/>
          <w:tab w:val="right" w:pos="9000"/>
        </w:tabs>
        <w:spacing w:after="16" w:before="16" w:line="240"/>
        <w:jc w:val="center"/>
      </w:pPr>
      <w:r>
        <w:t xml:space="preserve">	</w:t>
      </w:r>
      <m:oMath>
        <m:r>
          <m:t>SNR_t = SL − 2 TL(R) + TS + 20 log₁₀ G(Δθ_t) − (NL − DI)</m:t>
        </m:r>
      </m:oMath>
      <w:r>
        <w:t xml:space="preserve">	(11)</w:t>
      </w:r>
    </w:p>
    <w:p>
      <w:pPr>
        <w:spacing w:line="24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24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16" w:before="16" w:line="240"/>
        <w:jc w:val="center"/>
      </w:pPr>
      <w:r>
        <w:t xml:space="preserve">	</w:t>
      </w:r>
      <m:oMath>
        <m:r>
          <m:t>P_FA = exp( −V_T² / (2σ_n²) )</m:t>
        </m:r>
      </m:oMath>
      <w:r>
        <w:t xml:space="preserve">	(12)</w:t>
      </w:r>
    </w:p>
    <w:p>
      <w:pPr>
        <w:spacing w:line="240"/>
        <w:ind w:firstLine="480"/>
        <w:jc w:val="both"/>
      </w:pPr>
      <w:r>
        <w:rPr>
          <w:rFonts w:ascii="Times New Roman" w:eastAsia="SimSun"/>
          <w:color w:val="000000"/>
          <w:sz w:val="24"/>
          <w:szCs w:val="24"/>
        </w:rPr>
        <w:t xml:space="preserve">For a Swerling-I fluctuating target, the detection probability is </w:t>
      </w:r>
      <w:r>
        <w:rPr>
          <w:rFonts w:ascii="Times New Roman" w:eastAsia="SimSun"/>
          <w:color w:val="000000"/>
          <w:sz w:val="24"/>
          <w:szCs w:val="24"/>
          <w:vertAlign w:val="superscript"/>
        </w:rPr>
        <w:t xml:space="preserve">[1]</w:t>
      </w:r>
      <w:r>
        <w:rPr>
          <w:rFonts w:ascii="Times New Roman" w:eastAsia="SimSun"/>
          <w:color w:val="000000"/>
          <w:sz w:val="24"/>
          <w:szCs w:val="24"/>
        </w:rPr>
        <w:t xml:space="preserve">:</w:t>
      </w:r>
    </w:p>
    <w:p>
      <w:pPr>
        <w:tabs>
          <w:tab w:val="center" w:pos="4500"/>
          <w:tab w:val="right" w:pos="9000"/>
        </w:tabs>
        <w:spacing w:after="16" w:before="16" w:line="240"/>
        <w:jc w:val="center"/>
      </w:pPr>
      <w:r>
        <w:t xml:space="preserve">	</w:t>
      </w:r>
      <m:oMath>
        <m:sSup>
          <m:sSupPr/>
          <m:e>
            <m:r>
              <m:t>P_FA</m:t>
            </m:r>
          </m:e>
          <m:sup>
            <m:r>
              <m:t>1/(1+SNR)</m:t>
            </m:r>
          </m:sup>
        </m:sSup>
      </m:oMath>
      <w:r>
        <w:t xml:space="preserve">	(13)</w:t>
      </w:r>
    </w:p>
    <w:p>
      <w:pPr>
        <w:spacing w:line="24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16" w:before="16" w:line="240"/>
        <w:jc w:val="center"/>
      </w:pPr>
      <w:r>
        <w:t xml:space="preserve">	</w:t>
      </w:r>
      <m:oMath>
        <m:r>
          <m:t>P(o=1 | x=a) = P_D,   P(o=1 | x≠a) = P_FA</m:t>
        </m:r>
      </m:oMath>
      <w:r>
        <w:t xml:space="preserve">	(14)</w:t>
      </w:r>
    </w:p>
    <w:p>
      <w:pPr>
        <w:pStyle w:val="Heading2"/>
        <w:keepNext/>
        <w:spacing w:after="60" w:before="130" w:line="280"/>
      </w:pPr>
      <w:r>
        <w:rPr>
          <w:rFonts w:ascii="Times New Roman" w:eastAsia="SimSun"/>
          <w:b/>
          <w:bCs/>
          <w:color w:val="000000"/>
          <w:sz w:val="30"/>
          <w:szCs w:val="30"/>
        </w:rPr>
        <w:t xml:space="preserve">2.3 State, observation, action, and reward</w:t>
      </w:r>
    </w:p>
    <w:p>
      <w:pPr>
        <w:spacing w:line="24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16" w:before="16" w:line="240"/>
        <w:jc w:val="center"/>
      </w:pPr>
      <w:r>
        <w:t xml:space="preserve">	</w:t>
      </w:r>
      <m:oMath>
        <m:r>
          <m:t>o_t = ( b_t,  m_t,  a_{t−1},  d_{t−1},  t/T_max )</m:t>
        </m:r>
      </m:oMath>
      <w:r>
        <w:t xml:space="preserve">	(15)</w:t>
      </w:r>
    </w:p>
    <w:p>
      <w:pPr>
        <w:spacing w:line="24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24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16" w:before="16" w:line="240"/>
        <w:jc w:val="center"/>
      </w:pPr>
      <w:r>
        <w:t xml:space="preserve">	</w:t>
      </w:r>
      <m:oMath>
        <m:r>
          <m:t>r_t = R_hit · 1{o_t=1} − λ_s</m:t>
        </m:r>
      </m:oMath>
      <w:r>
        <w:br/>
        <w:t xml:space="preserve"/>
      </w:r>
      <w:r>
        <w:t xml:space="preserve">	</w:t>
      </w:r>
      <m:oMath>
        <m:r>
          <m:t>− λ_f · 1{o_t=1, x≠a_t} − λ_e · C(a_t)</m:t>
        </m:r>
      </m:oMath>
      <w:r>
        <w:t xml:space="preserve">	(16)</w:t>
      </w:r>
    </w:p>
    <w:p>
      <w:pPr>
        <w:spacing w:line="24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10" w:before="6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N sectors</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Target P_D</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P_FA</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 type</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Concentrated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Dispersed (correct)</w:t>
            </w:r>
          </w:p>
        </w:tc>
      </w:tr>
      <w:tr>
        <w:trPr>
          <w:cantSplit/>
        </w:trPr>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32</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0.70</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Biased (wrong sector)</w:t>
            </w:r>
          </w:p>
        </w:tc>
      </w:tr>
    </w:tbl>
    <w:p>
      <w:pPr>
        <w:spacing w:after="20"/>
      </w:pPr>
    </w:p>
    <w:p>
      <w:pPr>
        <w:spacing w:line="24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keepNext/>
        <w:spacing w:after="60" w:before="130" w:line="280"/>
      </w:pPr>
      <w:r>
        <w:rPr>
          <w:rFonts w:ascii="Times New Roman" w:eastAsia="SimSun"/>
          <w:b/>
          <w:bCs/>
          <w:color w:val="000000"/>
          <w:sz w:val="30"/>
          <w:szCs w:val="30"/>
        </w:rPr>
        <w:t xml:space="preserve">2.4 MuZero agent: representation, dynamics, prediction</w:t>
      </w:r>
    </w:p>
    <w:p>
      <w:pPr>
        <w:spacing w:line="24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w:t>
      </w:r>
      <w:r>
        <w:rPr>
          <w:rFonts w:ascii="Times New Roman" w:eastAsia="SimSun"/>
          <w:color w:val="000000"/>
          <w:sz w:val="24"/>
          <w:szCs w:val="24"/>
          <w:vertAlign w:val="superscript"/>
        </w:rPr>
        <w:t xml:space="preserve">[2]</w:t>
      </w:r>
      <w:r>
        <w:rPr>
          <w:rFonts w:ascii="Times New Roman" w:eastAsia="SimSun"/>
          <w:color w:val="000000"/>
          <w:sz w:val="24"/>
          <w:szCs w:val="24"/>
        </w:rPr>
        <w:t xml:space="preserve">. The representation network encodes the interaction history into a latent state:</w:t>
      </w:r>
    </w:p>
    <w:p>
      <w:pPr>
        <w:tabs>
          <w:tab w:val="center" w:pos="4500"/>
          <w:tab w:val="right" w:pos="9000"/>
        </w:tabs>
        <w:spacing w:after="16" w:before="16" w:line="240"/>
        <w:jc w:val="center"/>
      </w:pPr>
      <w:r>
        <w:t xml:space="preserve">	</w:t>
      </w:r>
      <m:oMath>
        <m:r>
          <m:t>h_t⁰ = h_θ(H_t)</m:t>
        </m:r>
      </m:oMath>
      <w:r>
        <w:t xml:space="preserve">	(17)</w:t>
      </w:r>
    </w:p>
    <w:p>
      <w:pPr>
        <w:spacing w:line="24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24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16" w:before="16" w:line="240"/>
        <w:jc w:val="center"/>
      </w:pPr>
      <w:r>
        <w:t xml:space="preserve">	</w:t>
      </w:r>
      <m:oMath>
        <m:r>
          <m:t>(r_t^k, h_t^{k+1}) = g_θ(h_t^k, a^k)</m:t>
        </m:r>
      </m:oMath>
      <w:r>
        <w:t xml:space="preserve">	(18)</w:t>
      </w:r>
    </w:p>
    <w:p>
      <w:pPr>
        <w:spacing w:line="24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16" w:before="16" w:line="240"/>
        <w:jc w:val="center"/>
      </w:pPr>
      <w:r>
        <w:t xml:space="preserve">	</w:t>
      </w:r>
      <m:oMath>
        <m:r>
          <m:t>(p_t^k, v_t^k) = f_θ(h_t^k)</m:t>
        </m:r>
      </m:oMath>
      <w:r>
        <w:t xml:space="preserve">	(19)</w:t>
      </w:r>
    </w:p>
    <w:p>
      <w:pPr>
        <w:keepNext/>
        <w:spacing w:after="6" w:before="40"/>
        <w:jc w:val="center"/>
      </w:pPr>
      <w:r>
        <w:drawing>
          <wp:inline distT="0" distB="0" distL="0" distR="0">
            <wp:extent cx="3838575" cy="2876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3857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2-4 MuZero architecture: representation network encodes history into a latent state; dynamics and prediction networks drive MCTS planning in latent space</w:t>
      </w:r>
    </w:p>
    <w:p>
      <w:pPr>
        <w:spacing w:line="24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10" w:before="6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055"/>
        <w:gridCol w:w="1933"/>
        <w:gridCol w:w="1230"/>
        <w:gridCol w:w="1055"/>
        <w:gridCol w:w="2109"/>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Module</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Input dim</w:t>
            </w:r>
          </w:p>
        </w:tc>
        <w:tc>
          <w:tcPr>
            <w:tcW w:type="pct" w:w="11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Hidden structure</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Output dim</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Activation</w:t>
            </w:r>
          </w:p>
        </w:tc>
        <w:tc>
          <w:tcPr>
            <w:tcW w:type="pct" w:w="12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Function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Representation h_θ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2N+3</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FC(256)→GRU(256)→FC(128)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 (latent)</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history→latent</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Dynamics g_θ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128+N (action embed.)</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128+1 (reward)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latent transition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Prediction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prior + value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head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256</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action prob.</w:t>
            </w:r>
          </w:p>
        </w:tc>
      </w:tr>
      <w:tr>
        <w:trPr>
          <w:cantSplit/>
        </w:trPr>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Value/reward head</w:t>
            </w:r>
          </w:p>
        </w:tc>
        <w:tc>
          <w:tcPr>
            <w:tcW w:type="pct" w:w="6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FC(1)</w:t>
            </w:r>
          </w:p>
        </w:tc>
        <w:tc>
          <w:tcPr>
            <w:tcW w:type="pct" w:w="7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6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Linear</w:t>
            </w:r>
          </w:p>
        </w:tc>
        <w:tc>
          <w:tcPr>
            <w:tcW w:type="pct" w:w="12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scalar regression</w:t>
            </w:r>
          </w:p>
        </w:tc>
      </w:tr>
    </w:tbl>
    <w:p>
      <w:pPr>
        <w:spacing w:after="20"/>
      </w:pPr>
    </w:p>
    <w:p>
      <w:pPr>
        <w:pStyle w:val="Heading2"/>
        <w:keepNext/>
        <w:spacing w:after="60" w:before="130" w:line="280"/>
      </w:pPr>
      <w:r>
        <w:rPr>
          <w:rFonts w:ascii="Times New Roman" w:eastAsia="SimSun"/>
          <w:b/>
          <w:bCs/>
          <w:color w:val="000000"/>
          <w:sz w:val="30"/>
          <w:szCs w:val="30"/>
        </w:rPr>
        <w:t xml:space="preserve">2.5 MuZero training objective</w:t>
      </w:r>
    </w:p>
    <w:p>
      <w:pPr>
        <w:spacing w:line="24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16" w:before="16" w:line="240"/>
        <w:jc w:val="center"/>
      </w:pPr>
      <w:r>
        <w:t xml:space="preserve">	</w:t>
      </w:r>
      <m:oMath>
        <m:r>
          <m:t>z_t = Σ_{i=0}^{n−1} γ^i r_{t+i} + γ^n v_{t+n}</m:t>
        </m:r>
      </m:oMath>
      <w:r>
        <w:t xml:space="preserve">	(20)</w:t>
      </w:r>
    </w:p>
    <w:p>
      <w:pPr>
        <w:spacing w:line="24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16" w:before="16" w:line="240"/>
        <w:jc w:val="center"/>
      </w:pPr>
      <w:r>
        <w:t xml:space="preserve">	</w:t>
      </w:r>
      <m:oMath>
        <m:r>
          <m:t>u_t = z_t − γ z_{t+1}</m:t>
        </m:r>
      </m:oMath>
      <w:r>
        <w:t xml:space="preserve">	(21)</w:t>
      </w:r>
    </w:p>
    <w:p>
      <w:pPr>
        <w:spacing w:line="24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16" w:before="16" w:line="24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24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16" w:before="16" w:line="240"/>
        <w:jc w:val="center"/>
      </w:pPr>
      <w:r>
        <w:t xml:space="preserve">	</w:t>
      </w:r>
      <m:oMath>
        <m:r>
          <m:t>l_r = (r − u)²,   l_v = (v − z)²,   l_p = −Σ_a π(a) ln p(a)</m:t>
        </m:r>
      </m:oMath>
      <w:r>
        <w:t xml:space="preserve">	(23)</w:t>
      </w:r>
    </w:p>
    <w:p>
      <w:pPr>
        <w:spacing w:line="24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keepNext/>
        <w:spacing w:after="60" w:before="130" w:line="280"/>
      </w:pPr>
      <w:r>
        <w:rPr>
          <w:rFonts w:ascii="Times New Roman" w:eastAsia="SimSun"/>
          <w:b/>
          <w:bCs/>
          <w:color w:val="000000"/>
          <w:sz w:val="30"/>
          <w:szCs w:val="30"/>
        </w:rPr>
        <w:t xml:space="preserve">2.6 MCTS planning with PUCT</w:t>
      </w:r>
    </w:p>
    <w:p>
      <w:pPr>
        <w:spacing w:line="24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16" w:before="16" w:line="240"/>
        <w:jc w:val="center"/>
      </w:pPr>
      <w:r>
        <w:t xml:space="preserve">	</w:t>
      </w:r>
      <m:oMath>
        <m:r>
          <m:t>a* = arg max_a ( Q(s,a) + U(s,a) )</m:t>
        </m:r>
      </m:oMath>
      <w:r>
        <w:t xml:space="preserve">	(24)</w:t>
      </w:r>
    </w:p>
    <w:p>
      <w:pPr>
        <w:tabs>
          <w:tab w:val="center" w:pos="4500"/>
          <w:tab w:val="right" w:pos="9000"/>
        </w:tabs>
        <w:spacing w:after="16" w:before="16" w:line="240"/>
        <w:jc w:val="center"/>
      </w:pPr>
      <w:r>
        <w:t xml:space="preserve">	</w:t>
      </w:r>
      <m:oMath>
        <m:r>
          <m:t>U(s,a) = c(s) · P(s,a) · √N_b(s) / (1 + N(s,a)),   c(s) = c₁ + ln(N_b(s)+c_base)/c_base</m:t>
        </m:r>
      </m:oMath>
      <w:r>
        <w:t xml:space="preserve">	(24)</w:t>
      </w:r>
    </w:p>
    <w:p>
      <w:pPr>
        <w:spacing w:line="24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24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16" w:before="16" w:line="240"/>
        <w:jc w:val="center"/>
      </w:pPr>
      <w:r>
        <w:t xml:space="preserve">	</w:t>
      </w:r>
      <m:oMath>
        <m:r>
          <m:t>G^k = Σ_τ γ^τ r^{k+1+τ} + γ^{l−k} v^l,   Q(s,a) = W(s,a)/N(s,a)</m:t>
        </m:r>
      </m:oMath>
      <w:r>
        <w:t xml:space="preserve">	(25)</w:t>
      </w:r>
    </w:p>
    <w:p>
      <w:pPr>
        <w:spacing w:line="24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16" w:before="16" w:line="240"/>
        <w:jc w:val="center"/>
      </w:pPr>
      <w:r>
        <w:t xml:space="preserve">	</w:t>
      </w:r>
      <m:oMath>
        <m:f>
          <m:num>
            <m:r>
              <m:t>N(s,a)^{1/τ}</m:t>
            </m:r>
          </m:num>
          <m:den>
            <m:r>
              <m:t>Σ_b N(s,b)^{1/τ}</m:t>
            </m:r>
          </m:den>
        </m:f>
      </m:oMath>
      <w:r>
        <w:t xml:space="preserve">	(26)</w:t>
      </w:r>
    </w:p>
    <w:p>
      <w:pPr>
        <w:spacing w:line="24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The default configuration uses 100 simulations and planning depth 5 (selected on the validation split); we treat simulation count (25/50/100/200) and planning depth (1/3/5/10) as ablation variables to analyze the performance-computation tradeoff.</w:t>
      </w:r>
    </w:p>
    <w:p>
      <w:pPr>
        <w:pStyle w:val="Heading2"/>
        <w:keepNext/>
        <w:spacing w:after="60" w:before="130" w:line="280"/>
      </w:pPr>
      <w:r>
        <w:rPr>
          <w:rFonts w:ascii="Times New Roman" w:eastAsia="SimSun"/>
          <w:b/>
          <w:bCs/>
          <w:color w:val="000000"/>
          <w:sz w:val="30"/>
          <w:szCs w:val="30"/>
        </w:rPr>
        <w:t xml:space="preserve">2.7 Baselines</w:t>
      </w:r>
    </w:p>
    <w:p>
      <w:pPr>
        <w:spacing w:line="240"/>
        <w:ind w:firstLine="480"/>
        <w:jc w:val="both"/>
      </w:pPr>
      <w:r>
        <w:rPr>
          <w:rFonts w:ascii="Times New Roman" w:eastAsia="SimSun"/>
          <w:color w:val="000000"/>
          <w:sz w:val="24"/>
          <w:szCs w:val="24"/>
        </w:rPr>
        <w:t xml:space="preserve">We compare MuZero against eight baselines spanning three families: heuristic policies (Sequential, Random, Belief-Greedy), a known-model POMDP planner (POMCP), and model-free learned policies with and without memory (DQN, PPO, DQN-GRU, PPO-Stack). Sequential scans sectors in fixed cyclic order. Random samples uniformly at each step. Belief-Greedy picks the sector with the highest current posterior probability:</w:t>
      </w:r>
    </w:p>
    <w:p>
      <w:pPr>
        <w:tabs>
          <w:tab w:val="center" w:pos="4500"/>
          <w:tab w:val="right" w:pos="9000"/>
        </w:tabs>
        <w:spacing w:after="16" w:before="16" w:line="240"/>
        <w:jc w:val="center"/>
      </w:pPr>
      <w:r>
        <w:t xml:space="preserve">	</w:t>
      </w:r>
      <m:oMath>
        <m:r>
          <m:t>a_t = arg max_{i∈S} b_t(i)</m:t>
        </m:r>
      </m:oMath>
      <w:r>
        <w:t xml:space="preserve">	(27)</w:t>
      </w:r>
    </w:p>
    <w:p>
      <w:pPr>
        <w:spacing w:line="24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w:t>
      </w:r>
      <w:r>
        <w:rPr>
          <w:rFonts w:ascii="Times New Roman" w:eastAsia="SimSun"/>
          <w:color w:val="000000"/>
          <w:sz w:val="24"/>
          <w:szCs w:val="24"/>
          <w:vertAlign w:val="superscript"/>
        </w:rPr>
        <w:t xml:space="preserve">[4]</w:t>
      </w:r>
      <w:r>
        <w:rPr>
          <w:rFonts w:ascii="Times New Roman" w:eastAsia="SimSun"/>
          <w:color w:val="000000"/>
          <w:sz w:val="24"/>
          <w:szCs w:val="24"/>
        </w:rPr>
        <w:t xml:space="preserve"> receives the same observation vector as MuZero and outputs Q-values per action, trained with experience replay, a target network, and ε-greedy exploration:</w:t>
      </w:r>
    </w:p>
    <w:p>
      <w:pPr>
        <w:tabs>
          <w:tab w:val="center" w:pos="4500"/>
          <w:tab w:val="right" w:pos="9000"/>
        </w:tabs>
        <w:spacing w:after="16" w:before="16" w:line="240"/>
        <w:jc w:val="center"/>
      </w:pPr>
      <w:r>
        <w:t xml:space="preserve">	</w:t>
      </w:r>
      <m:oMath>
        <m:r>
          <m:t>L_DQN = E[ ( r_t + γ max_{a′} Q⁻(s_{t+1},a′) − Q(s_t,a_t) )² ]</m:t>
        </m:r>
      </m:oMath>
      <w:r>
        <w:t xml:space="preserve">	(28)</w:t>
      </w:r>
    </w:p>
    <w:p>
      <w:pPr>
        <w:spacing w:line="240"/>
        <w:ind w:firstLine="480"/>
        <w:jc w:val="both"/>
      </w:pPr>
      <w:r>
        <w:rPr>
          <w:rFonts w:ascii="Times New Roman" w:eastAsia="SimSun"/>
          <w:color w:val="000000"/>
          <w:sz w:val="24"/>
          <w:szCs w:val="24"/>
        </w:rPr>
        <w:t xml:space="preserve">where Q⁻ is the target network. PPO </w:t>
      </w:r>
      <w:r>
        <w:rPr>
          <w:rFonts w:ascii="Times New Roman" w:eastAsia="SimSun"/>
          <w:color w:val="000000"/>
          <w:sz w:val="24"/>
          <w:szCs w:val="24"/>
          <w:vertAlign w:val="superscript"/>
        </w:rPr>
        <w:t xml:space="preserve">[5]</w:t>
      </w:r>
      <w:r>
        <w:rPr>
          <w:rFonts w:ascii="Times New Roman" w:eastAsia="SimSun"/>
          <w:color w:val="000000"/>
          <w:sz w:val="24"/>
          <w:szCs w:val="24"/>
        </w:rPr>
        <w:t xml:space="preserve"> is a model-free policy-gradient method with clipped objectives:</w:t>
      </w:r>
    </w:p>
    <w:p>
      <w:pPr>
        <w:tabs>
          <w:tab w:val="center" w:pos="4500"/>
          <w:tab w:val="right" w:pos="9000"/>
        </w:tabs>
        <w:spacing w:after="16" w:before="16" w:line="240"/>
        <w:jc w:val="center"/>
      </w:pPr>
      <w:r>
        <w:t xml:space="preserve">	</w:t>
      </w:r>
      <m:oMath>
        <m:r>
          <m:t>r_t(θ) = π_θ(a_t|s_t) / π_{θ_old}(a_t|s_t)</m:t>
        </m:r>
      </m:oMath>
      <w:r>
        <w:t xml:space="preserve">	(29)</w:t>
      </w:r>
    </w:p>
    <w:p>
      <w:pPr>
        <w:tabs>
          <w:tab w:val="center" w:pos="4500"/>
          <w:tab w:val="right" w:pos="9000"/>
        </w:tabs>
        <w:spacing w:after="16" w:before="16" w:line="240"/>
        <w:jc w:val="center"/>
      </w:pPr>
      <w:r>
        <w:t xml:space="preserve">	</w:t>
      </w:r>
      <m:oMath>
        <m:r>
          <m:t>L^CLIP(θ) = E_t[ min( r_t(θ) A_t, clip(r_t(θ), 1−ε, 1+ε) A_t ) ]</m:t>
        </m:r>
      </m:oMath>
      <w:r>
        <w:t xml:space="preserve">	(30)</w:t>
      </w:r>
    </w:p>
    <w:p>
      <w:pPr>
        <w:spacing w:line="240"/>
        <w:ind w:firstLine="480"/>
        <w:jc w:val="both"/>
      </w:pPr>
      <w:r>
        <w:rPr>
          <w:rFonts w:ascii="Times New Roman" w:eastAsia="SimSun"/>
          <w:color w:val="000000"/>
          <w:sz w:val="24"/>
          <w:szCs w:val="24"/>
        </w:rPr>
        <w:t xml:space="preserve">where A_t is the advantage estimate and ε is the clip parameter.</w:t>
      </w:r>
    </w:p>
    <w:p>
      <w:pPr>
        <w:spacing w:line="240"/>
        <w:ind w:firstLine="480"/>
        <w:jc w:val="both"/>
      </w:pPr>
      <w:r>
        <w:rPr>
          <w:rFonts w:ascii="Times New Roman" w:eastAsia="SimSun"/>
          <w:color w:val="000000"/>
          <w:sz w:val="24"/>
          <w:szCs w:val="24"/>
        </w:rPr>
        <w:t xml:space="preserve">To isolate the contribution of memory from that of planning, we additionally evaluate two memory-augmented variants of the learned baselines. DQN-GRU replaces the feed-forward Q-network with a GRU </w:t>
      </w:r>
      <w:r>
        <w:rPr>
          <w:rFonts w:ascii="Times New Roman" w:eastAsia="SimSun"/>
          <w:color w:val="000000"/>
          <w:sz w:val="24"/>
          <w:szCs w:val="24"/>
          <w:vertAlign w:val="superscript"/>
        </w:rPr>
        <w:t xml:space="preserve">[35]</w:t>
      </w:r>
      <w:r>
        <w:rPr>
          <w:rFonts w:ascii="Times New Roman" w:eastAsia="SimSun"/>
          <w:color w:val="000000"/>
          <w:sz w:val="24"/>
          <w:szCs w:val="24"/>
        </w:rPr>
        <w:t xml:space="preserve"> (256 units) over the per-step raw observation (action one-hot, detection, normalized time), followed by a Q-head, in the spirit of Deep Recurrent Q-Learning </w:t>
      </w:r>
      <w:r>
        <w:rPr>
          <w:rFonts w:ascii="Times New Roman" w:eastAsia="SimSun"/>
          <w:color w:val="000000"/>
          <w:sz w:val="24"/>
          <w:szCs w:val="24"/>
          <w:vertAlign w:val="superscript"/>
        </w:rPr>
        <w:t xml:space="preserve">[36]</w:t>
      </w:r>
      <w:r>
        <w:rPr>
          <w:rFonts w:ascii="Times New Roman" w:eastAsia="SimSun"/>
          <w:color w:val="000000"/>
          <w:sz w:val="24"/>
          <w:szCs w:val="24"/>
        </w:rPr>
        <w:t xml:space="preserve"> — it receives the same raw observation stream as MuZero and must integrate detection history through its recurrent state. PPO-Stack stacks the last K = 8 raw frames into a 1552-dimensional vector for the actor-critic, the standard frame-stacking remedy for partial observability. Both are trained with the same 2×10⁶ environment-step budget, the same validation-based model selection, and the same five seeds as all other learned methods.</w:t>
      </w:r>
    </w:p>
    <w:p>
      <w:pPr>
        <w:spacing w:line="240"/>
        <w:ind w:firstLine="480"/>
        <w:jc w:val="both"/>
      </w:pPr>
      <w:r>
        <w:rPr>
          <w:rFonts w:ascii="Times New Roman" w:eastAsia="SimSun"/>
          <w:color w:val="000000"/>
          <w:sz w:val="24"/>
          <w:szCs w:val="24"/>
        </w:rPr>
        <w:t xml:space="preserve">Finally, we include POMCP </w:t>
      </w:r>
      <w:r>
        <w:rPr>
          <w:rFonts w:ascii="Times New Roman" w:eastAsia="SimSun"/>
          <w:color w:val="000000"/>
          <w:sz w:val="24"/>
          <w:szCs w:val="24"/>
          <w:vertAlign w:val="superscript"/>
        </w:rPr>
        <w:t xml:space="preserve">[34]</w:t>
      </w:r>
      <w:r>
        <w:rPr>
          <w:rFonts w:ascii="Times New Roman" w:eastAsia="SimSun"/>
          <w:color w:val="000000"/>
          <w:sz w:val="24"/>
          <w:szCs w:val="24"/>
        </w:rPr>
        <w:t xml:space="preserve">, a dedicated online POMDP planner, as a known-model reference. POMCP maintains a particle filter (500 particles) over the target sector and plans at each step with PUCT tree search (200 simulations, depth 10, γ = 0.99 — the same selection rule and discount as MuZero's MCTS) using the true observation model, i.e., the exact per-episode detection probability PD and false-alarm probability PFA. POMCP therefore requires information that is unavailable in practice and is never given to any learned method; it serves as an oracle-model upper bound that quantifies the headroom left by model-free and learned-model approaches. We deliberately do not handicap it: if a known-model planner dominates everywhere, that is the honest answer.</w:t>
      </w:r>
    </w:p>
    <w:p>
      <w:pPr>
        <w:keepNext/>
        <w:spacing w:after="10" w:before="60"/>
        <w:jc w:val="center"/>
      </w:pPr>
      <w:r>
        <w:rPr>
          <w:rFonts w:ascii="Times New Roman" w:eastAsia="SimSun"/>
          <w:b/>
          <w:bCs/>
          <w:sz w:val="21"/>
          <w:szCs w:val="21"/>
        </w:rPr>
        <w:t xml:space="preserve">Table 3-3 Method comparison (extended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Env. model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Lookahead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Belief use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Param. learning</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Multi-step</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Greedy (1-step)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(filter output)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True (oracle)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Explicit (PUCT)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(particles)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(raw hist.)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(raw hist.)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(GRU state)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(frame stack)</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Learned latent</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Explicit (MCTS)</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Implicit (GRU state)</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r>
    </w:tbl>
    <w:p>
      <w:pPr>
        <w:spacing w:after="20"/>
      </w:pPr>
    </w:p>
    <w:p>
      <w:pPr>
        <w:pStyle w:val="Heading2"/>
        <w:keepNext/>
        <w:spacing w:after="60" w:before="130" w:line="280"/>
      </w:pPr>
      <w:r>
        <w:rPr>
          <w:rFonts w:ascii="Times New Roman" w:eastAsia="SimSun"/>
          <w:b/>
          <w:bCs/>
          <w:color w:val="000000"/>
          <w:sz w:val="30"/>
          <w:szCs w:val="30"/>
        </w:rPr>
        <w:t xml:space="preserve">2.8 Fair comparison protocol</w:t>
      </w:r>
    </w:p>
    <w:p>
      <w:pPr>
        <w:keepNext/>
        <w:spacing w:after="6" w:before="40"/>
        <w:jc w:val="center"/>
      </w:pPr>
      <w:r>
        <w:drawing>
          <wp:inline distT="0" distB="0" distL="0" distR="0">
            <wp:extent cx="3838575" cy="28765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3857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2-5 Experimental pipeline: scenario generation, training, validation-based model selection, paired testing, ablation and OOD evaluation, statistics and figures</w:t>
      </w:r>
    </w:p>
    <w:p>
      <w:pPr>
        <w:spacing w:line="24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keepNext/>
        <w:spacing w:after="60" w:before="130" w:line="280"/>
      </w:pPr>
      <w:r>
        <w:rPr>
          <w:rFonts w:ascii="Times New Roman" w:eastAsia="SimSun"/>
          <w:b/>
          <w:bCs/>
          <w:color w:val="000000"/>
          <w:sz w:val="30"/>
          <w:szCs w:val="30"/>
        </w:rPr>
        <w:t xml:space="preserve">2.9 Evaluation metrics</w:t>
      </w:r>
    </w:p>
    <w:p>
      <w:pPr>
        <w:spacing w:line="24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keepNext/>
        <w:spacing w:after="60" w:before="130" w:line="280"/>
      </w:pPr>
      <w:r>
        <w:rPr>
          <w:rFonts w:ascii="Times New Roman" w:eastAsia="SimSun"/>
          <w:b/>
          <w:bCs/>
          <w:color w:val="000000"/>
          <w:sz w:val="30"/>
          <w:szCs w:val="30"/>
        </w:rPr>
        <w:t xml:space="preserve">2.10 Statistical tests</w:t>
      </w:r>
    </w:p>
    <w:p>
      <w:pPr>
        <w:spacing w:line="24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keepNext/>
        <w:spacing w:after="80" w:before="160" w:line="280"/>
        <w:jc w:val="center"/>
      </w:pPr>
      <w:r>
        <w:rPr>
          <w:rFonts w:ascii="Times New Roman" w:eastAsia="SimSun"/>
          <w:b/>
          <w:bCs/>
          <w:color w:val="000000"/>
          <w:sz w:val="32"/>
          <w:szCs w:val="32"/>
        </w:rPr>
        <w:t xml:space="preserve">3. Results</w:t>
      </w:r>
    </w:p>
    <w:p>
      <w:pPr>
        <w:pStyle w:val="Heading2"/>
        <w:keepNext/>
        <w:spacing w:after="60" w:before="130" w:line="280"/>
      </w:pPr>
      <w:r>
        <w:rPr>
          <w:rFonts w:ascii="Times New Roman" w:eastAsia="SimSun"/>
          <w:b/>
          <w:bCs/>
          <w:color w:val="000000"/>
          <w:sz w:val="30"/>
          <w:szCs w:val="30"/>
        </w:rPr>
        <w:t xml:space="preserve">3.1 Main comparison across three observation regimes</w:t>
      </w:r>
    </w:p>
    <w:p>
      <w:pPr>
        <w:keepNext/>
        <w:spacing w:after="10" w:before="60"/>
        <w:jc w:val="center"/>
      </w:pPr>
      <w:r>
        <w:rPr>
          <w:rFonts w:ascii="Times New Roman" w:eastAsia="SimSun"/>
          <w:b/>
          <w:bCs/>
          <w:sz w:val="21"/>
          <w:szCs w:val="21"/>
        </w:rPr>
        <w:t xml:space="preserve">Table 3-1 Success rate (SR) and average detection steps (ADS) across three observation regimes (5 seeds, 1000 paired episodes per condition). Memory-augmented baselines and POMCP were evaluated in the blind-search regime, the paper's main setting.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Regime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(Easy)</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(Hard)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ADS (Med.)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R1 belief-fed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0.432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8.8</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0.914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0.364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8.7</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2.2</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0.920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0.744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0.113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9.0</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8.2</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R3 blind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0.432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8.8</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0.914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0.364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8.7</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0.960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2.1</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0.911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5.8</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0.132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6.7</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0.303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11.3</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0.820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9.0</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0.131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6.6</w:t>
            </w:r>
          </w:p>
        </w:tc>
      </w:tr>
      <w:tr>
        <w:trPr>
          <w:cantSplit/>
        </w:trPr>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0.725</w:t>
            </w:r>
          </w:p>
        </w:tc>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0.278</w:t>
            </w:r>
          </w:p>
        </w:tc>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8.9</w:t>
            </w:r>
          </w:p>
        </w:tc>
      </w:tr>
    </w:tbl>
    <w:p>
      <w:pPr>
        <w:spacing w:after="20"/>
      </w:pPr>
    </w:p>
    <w:p>
      <w:pPr>
        <w:spacing w:line="24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for learned methods: MuZero reaches SR = 0.679 on Medium, significantly outperforming DQN (0.335), PPO (0.303), and — critically — the memory-augmented variants DQN-GRU (0.448) and PPO-Stack (0.339) that share MuZero's raw observation stream. The oracle-model POMCP planner reaches 0.911, setting the ceiling for any method that must infer state from raw interactions. On Easy, MuZero (0.725) trails Belief-Greedy (0.999), Sequential (0.999) and POMCP (0.998), because the correct concentrated prior makes greedy exploitation essentially optimal; DQN-GRU (0.820) also edges past MuZero here, though with high seed variance (±0.121).</w:t>
      </w:r>
    </w:p>
    <w:p>
      <w:pPr>
        <w:spacing w:line="240"/>
        <w:ind w:firstLine="480"/>
        <w:jc w:val="both"/>
      </w:pPr>
      <w:r>
        <w:rPr>
          <w:rFonts w:ascii="Times New Roman" w:eastAsia="SimSun"/>
          <w:color w:val="000000"/>
          <w:sz w:val="24"/>
          <w:szCs w:val="24"/>
        </w:rPr>
        <w:t xml:space="preserve">The memory-versus-planning decomposition is informative. Adding recurrence to DQN (DQN → DQN-GRU) raises Medium SR from 0.335 to 0.448 (+0.113), and adding frame stacking to PPO (PPO → PPO-Stack) raises it from 0.303 to 0.339 (+0.036): memory alone recovers roughly one-third of MuZero's advantage over the feed-forward baselines. The remaining two-thirds comes from search over the learned model — consistent with the ablation in Section 3.3, where removing MCTS from MuZero costs −0.18 SR. Under the biased prior of Hard, the ordering inverts in MuZero's favor: Belief-Greedy collapses to 0.000, and the oracle-model POMCP drops to 0.173 because its particle filter is initialized from the wrong prior, while MuZero — trained under domain randomization with biased priors — retains SR = 0.278, significantly above POMCP (+0.104, p &lt; 0.001) and every other learned baseline. Only the information-free Sequential scan (0.432) is more robust, at the cost of ranking below belief-informed methods on Easy/Medium.</w:t>
      </w:r>
    </w:p>
    <w:p>
      <w:pPr>
        <w:keepNext/>
        <w:spacing w:after="6" w:before="40"/>
        <w:jc w:val="center"/>
      </w:pPr>
      <w:r>
        <w:drawing>
          <wp:inline distT="0" distB="0" distL="0" distR="0">
            <wp:extent cx="50292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84797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 Success rate comparison across Easy/Medium/Hard difficulties (blind search regime, V3)</w:t>
      </w:r>
    </w:p>
    <w:p>
      <w:pPr>
        <w:keepNext/>
        <w:spacing w:after="6" w:before="40"/>
        <w:jc w:val="center"/>
      </w:pPr>
      <w:r>
        <w:drawing>
          <wp:inline distT="0" distB="0" distL="0" distR="0">
            <wp:extent cx="5029200" cy="2867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86702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3-2 Average detection steps comparison across difficulties (successful episodes only)</w:t>
      </w:r>
    </w:p>
    <w:p>
      <w:pPr>
        <w:pStyle w:val="Heading2"/>
        <w:keepNext/>
        <w:spacing w:after="60" w:before="130" w:line="280"/>
      </w:pPr>
      <w:r>
        <w:rPr>
          <w:rFonts w:ascii="Times New Roman" w:eastAsia="SimSun"/>
          <w:b/>
          <w:bCs/>
          <w:color w:val="000000"/>
          <w:sz w:val="30"/>
          <w:szCs w:val="30"/>
        </w:rPr>
        <w:t xml:space="preserve">3.2 Statistical significance</w:t>
      </w:r>
    </w:p>
    <w:p>
      <w:pPr>
        <w:spacing w:line="240"/>
        <w:ind w:firstLine="480"/>
        <w:jc w:val="both"/>
      </w:pPr>
      <w:r>
        <w:rPr>
          <w:rFonts w:ascii="Times New Roman" w:eastAsia="SimSun"/>
          <w:color w:val="000000"/>
          <w:sz w:val="24"/>
          <w:szCs w:val="24"/>
        </w:rPr>
        <w:t xml:space="preserve">Paired statistical tests (Holm-corrected, α=0.05, 1000 paired scenarios per condition) on the blind-search regime (V3) confirm the picture (Table 3-2). MuZero's advantage over all four model-free learned baselines (DQN, PPO, DQN-GRU, PPO-Stack) is significant on Medium and Hard, with large effect sizes (Cohen's dz = 0.58–1.07). Against the oracle-model POMCP, MuZero is significantly behind on Easy/Medium (−0.273/−0.232) but significantly ahead on Hard (+0.104) — the biased prior poisons POMCP's particle filter, whereas MuZero's policy, trained under prior randomization, is robust to the misspecification. Against Belief-Greedy the same inversion appears (−0.281 on Medium, +0.278 on Hard). The Sequential scan remains significantly above MuZero on all difficulties, and Random ties MuZero on Medium (p = 0.14, n.s.) — both information-free policies set a robustness floor that learned planning does not yet cross.</w:t>
      </w:r>
    </w:p>
    <w:p>
      <w:pPr>
        <w:keepNext/>
        <w:spacing w:after="10" w:before="60"/>
        <w:jc w:val="center"/>
      </w:pPr>
      <w:r>
        <w:rPr>
          <w:rFonts w:ascii="Times New Roman" w:eastAsia="SimSun"/>
          <w:b/>
          <w:bCs/>
          <w:sz w:val="21"/>
          <w:szCs w:val="21"/>
        </w:rPr>
        <w:t xml:space="preserve">Table 3-2 Paired statistical tests (Holm-corrected) for MuZero vs baselines in blind search (V3); full 8-comparison family in the released statistical_tests.csv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Comparison (V3)</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ΔSR</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 (Holm)</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Cohen's dz</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+0.247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+0.857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+1.045</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+0.594</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+0.254</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+1.079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+0.376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+1.074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DQN-GRU</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−0.095</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−0.404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+0.230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+0.587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+0.179</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+0.745</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PPO-Stack</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+0.277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+0.802</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+0.929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+0.582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POMCP (oracle)</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−0.273</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−1.087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−0.232</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−0.803</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+0.393</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Belief-Greedy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−0.281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−0.882</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+0.278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+1.398</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Random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+0.016</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0.142 (n.s.)</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+0.046</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Sequential</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−0.220</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−0.602</w:t>
            </w:r>
          </w:p>
        </w:tc>
      </w:tr>
      <w:tr>
        <w:trPr>
          <w:cantSplit/>
        </w:trPr>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−0.154</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−0.315</w:t>
            </w:r>
          </w:p>
        </w:tc>
      </w:tr>
    </w:tbl>
    <w:p>
      <w:pPr>
        <w:spacing w:after="20"/>
      </w:pPr>
    </w:p>
    <w:p>
      <w:pPr>
        <w:pStyle w:val="Heading2"/>
        <w:keepNext/>
        <w:spacing w:after="60" w:before="130" w:line="280"/>
      </w:pPr>
      <w:r>
        <w:rPr>
          <w:rFonts w:ascii="Times New Roman" w:eastAsia="SimSun"/>
          <w:b/>
          <w:bCs/>
          <w:color w:val="000000"/>
          <w:sz w:val="30"/>
          <w:szCs w:val="30"/>
        </w:rPr>
        <w:t xml:space="preserve">3.3 Ablation studies</w:t>
      </w:r>
    </w:p>
    <w:p>
      <w:pPr>
        <w:keepNext/>
        <w:spacing w:after="10" w:before="6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Variant</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 vs full</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(full)</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0.679</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MCTS (policy only)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0.499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−0.180</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domain randomization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0.642</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−0.037</w:t>
            </w:r>
          </w:p>
        </w:tc>
      </w:tr>
      <w:tr>
        <w:trPr>
          <w:cantSplit/>
        </w:trPr>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Shaped reward</w:t>
            </w:r>
          </w:p>
        </w:tc>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−0.024</w:t>
            </w:r>
          </w:p>
        </w:tc>
      </w:tr>
    </w:tbl>
    <w:p>
      <w:pPr>
        <w:spacing w:after="20"/>
      </w:pPr>
    </w:p>
    <w:p>
      <w:pPr>
        <w:spacing w:line="240"/>
        <w:ind w:firstLine="480"/>
        <w:jc w:val="both"/>
      </w:pPr>
      <w:r>
        <w:rPr>
          <w:rFonts w:ascii="Times New Roman" w:eastAsia="SimSun"/>
          <w:color w:val="000000"/>
          <w:sz w:val="24"/>
          <w:szCs w:val="24"/>
        </w:rPr>
        <w:t xml:space="preserve">Removing MCTS (using only the policy head without search) degrades MuZero from SR = 0.679 to 0.499 (−0.180, Holm p &lt; 0.001), confirming that tree search is the primary contributor to MuZero's advantage (ablation A). Removing GRU memory reduces SR to 0.608 (−0.071, p &lt; 0.001), and removing domain randomization reduces it to 0.642 (−0.037, p &lt; 0.001). Shaped (potential-based) rewards produce no significant change (−0.024, p = 0.11, n.s.), suggesting the sparse task reward is already well-shaped by the detection objective.</w:t>
      </w:r>
    </w:p>
    <w:p>
      <w:pPr>
        <w:keepNext/>
        <w:spacing w:after="10" w:before="6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MCTS sims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Latency (ms)</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0.227</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0.536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6.7</w:t>
            </w:r>
          </w:p>
        </w:tc>
      </w:tr>
      <w:tr>
        <w:trPr>
          <w:cantSplit/>
        </w:trPr>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200</w:t>
            </w:r>
          </w:p>
        </w:tc>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13.8</w:t>
            </w:r>
          </w:p>
        </w:tc>
      </w:tr>
    </w:tbl>
    <w:p>
      <w:pPr>
        <w:spacing w:after="20"/>
      </w:pPr>
    </w:p>
    <w:p>
      <w:pPr>
        <w:spacing w:line="240"/>
        <w:ind w:firstLine="480"/>
        <w:jc w:val="both"/>
      </w:pPr>
      <w:r>
        <w:rPr>
          <w:rFonts w:ascii="Times New Roman" w:eastAsia="SimSun"/>
          <w:color w:val="000000"/>
          <w:sz w:val="24"/>
          <w:szCs w:val="24"/>
        </w:rPr>
        <w:t xml:space="preserve">MCTS simulation count shows a clear performance-compute tradeoff (Table 3-4, all at depth 5): dropping to 25 simulations collapses SR to 0.227 (−0.452 vs the 100-simulation default, p &lt; 0.001), and 50 simulations reach only 0.536 (−0.142, p &lt; 0.001). Interestingly, 200 simulations are significantly worse than 100 (0.608, −0.070, p &lt; 0.001) at more than double the latency — over-searching an imperfect learned model amplifies its errors, an instance of search-model mismatch. The chosen default of 100 simulations at depth 5 is the empirical optimum. Planning depth (Table 3-5, at 100 simulations) saturates quickly: depth 1 costs −0.129 SR (p &lt; 0.001), while depths 3, 5, and 10 are indistinguishable (paired tests vs the full model: p = 1.0), because the 20-step episode rarely rewards lookahead beyond 3 steps.</w:t>
      </w:r>
    </w:p>
    <w:p>
      <w:pPr>
        <w:keepNext/>
        <w:spacing w:after="10" w:before="6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Planning depth</w:t>
            </w:r>
          </w:p>
        </w:tc>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0.614</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w:t>
            </w:r>
          </w:p>
        </w:tc>
        <w:tc>
          <w:tcPr>
            <w:tcW w:type="pct" w:w="25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bl>
    <w:p>
      <w:pPr>
        <w:spacing w:after="20"/>
      </w:pPr>
    </w:p>
    <w:p>
      <w:pPr>
        <w:keepNext/>
        <w:spacing w:after="6" w:before="40"/>
        <w:jc w:val="center"/>
      </w:pPr>
      <w:r>
        <w:drawing>
          <wp:inline distT="0" distB="0" distL="0" distR="0">
            <wp:extent cx="3438525" cy="2876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3852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3-3 MuZero with vs without MCTS (ablation A) — MCTS contributes +0.18 SR</w:t>
      </w:r>
    </w:p>
    <w:p>
      <w:pPr>
        <w:keepNext/>
        <w:spacing w:after="6" w:before="40"/>
        <w:jc w:val="center"/>
      </w:pPr>
      <w:r>
        <w:drawing>
          <wp:inline distT="0" distB="0" distL="0" distR="0">
            <wp:extent cx="5029200" cy="1190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119062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3-4 MCTS ablations: (a) simulation count vs SR, (b) simulation count vs latency, (c) planning depth vs SR</w:t>
      </w:r>
    </w:p>
    <w:p>
      <w:pPr>
        <w:keepNext/>
        <w:spacing w:after="6" w:before="40"/>
        <w:jc w:val="center"/>
      </w:pPr>
      <w:r>
        <w:drawing>
          <wp:inline distT="0" distB="0" distL="0" distR="0">
            <wp:extent cx="3495675" cy="28765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9567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3-5 Component ablations: (a) w/o belief, (b) w/o memory, (c) w/o domain randomization, (d) shaped reward</w:t>
      </w:r>
    </w:p>
    <w:p>
      <w:pPr>
        <w:pStyle w:val="Heading2"/>
        <w:keepNext/>
        <w:spacing w:after="60" w:before="130" w:line="280"/>
      </w:pPr>
      <w:r>
        <w:rPr>
          <w:rFonts w:ascii="Times New Roman" w:eastAsia="SimSun"/>
          <w:b/>
          <w:bCs/>
          <w:color w:val="000000"/>
          <w:sz w:val="30"/>
          <w:szCs w:val="30"/>
        </w:rPr>
        <w:t xml:space="preserve">3.4 Out-of-distribution robustness</w:t>
      </w:r>
    </w:p>
    <w:p>
      <w:pPr>
        <w:keepNext/>
        <w:spacing w:after="10" w:before="60"/>
        <w:jc w:val="center"/>
      </w:pPr>
      <w:r>
        <w:rPr>
          <w:rFonts w:ascii="Times New Roman" w:eastAsia="SimSun"/>
          <w:b/>
          <w:bCs/>
          <w:sz w:val="21"/>
          <w:szCs w:val="21"/>
        </w:rPr>
        <w:t xml:space="preserve">Table 3-6 OOD robustness across all methods (blind search, V3; SR per condition, 5 seeds, paired scenarios)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30"/>
        <w:gridCol w:w="1230"/>
        <w:gridCol w:w="1230"/>
        <w:gridCol w:w="1230"/>
        <w:gridCol w:w="1230"/>
        <w:gridCol w:w="1230"/>
        <w:gridCol w:w="1230"/>
      </w:tblGrid>
      <w:tr>
        <w:trPr>
          <w:cantSplit/>
          <w:tblHeader/>
        </w:trPr>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ID</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OOD-SNR</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OOD-PFA</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OOD-N</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OOD-Prior</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OOD-Reverb</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0.882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0.974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0.880</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0.716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0.288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0.665</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0.656</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0.970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0.946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0.968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0.952</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0.921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0.980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0.879</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0.867</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0.315</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0.904</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0.063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0.262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0.040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0.302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0.298</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0.480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0.454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0.452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0.469</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0.359</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0.055</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0.355</w:t>
            </w:r>
          </w:p>
        </w:tc>
      </w:tr>
      <w:tr>
        <w:trPr>
          <w:cantSplit/>
        </w:trPr>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0.675</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0.738</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0.646</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0.181</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0.686</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0.665</w:t>
            </w:r>
          </w:p>
        </w:tc>
      </w:tr>
    </w:tbl>
    <w:p>
      <w:pPr>
        <w:spacing w:after="20"/>
      </w:pPr>
    </w:p>
    <w:p>
      <w:pPr>
        <w:spacing w:line="24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its policy does not consume the belief; Table 3-6 shows the same structural immunity for the other blind-search learners, while belief-consuming methods degrade. The critical failure is OOD-N (48 sectors beyond the training maximum of 32): every method degrades sharply (MuZero to 0.181, Drop ≈ −73%), indicating that problem-size generalization remains a common limitation.</w:t>
      </w:r>
    </w:p>
    <w:p>
      <w:pPr>
        <w:keepNext/>
        <w:spacing w:after="6" w:before="40"/>
        <w:jc w:val="center"/>
      </w:pPr>
      <w:r>
        <w:drawing>
          <wp:inline distT="0" distB="0" distL="0" distR="0">
            <wp:extent cx="5029200" cy="12382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12382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3-6 Continuous difficulty sweeps: (a) SR vs SNR, (b) SR vs P_FA, (c) SR vs number of sectors</w:t>
      </w:r>
    </w:p>
    <w:p>
      <w:pPr>
        <w:keepNext/>
        <w:spacing w:after="6" w:before="40"/>
        <w:jc w:val="center"/>
      </w:pPr>
      <w:r>
        <w:drawing>
          <wp:inline distT="0" distB="0" distL="0" distR="0">
            <wp:extent cx="5029200" cy="2676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267652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3-7 ID vs OOD performance comparison across all methods (blind search)</w:t>
      </w:r>
    </w:p>
    <w:p>
      <w:pPr>
        <w:pStyle w:val="Heading2"/>
        <w:keepNext/>
        <w:spacing w:after="60" w:before="130" w:line="280"/>
      </w:pPr>
      <w:r>
        <w:rPr>
          <w:rFonts w:ascii="Times New Roman" w:eastAsia="SimSun"/>
          <w:b/>
          <w:bCs/>
          <w:color w:val="000000"/>
          <w:sz w:val="30"/>
          <w:szCs w:val="30"/>
        </w:rPr>
        <w:t xml:space="preserve">3.5 Prior-bias robustness</w:t>
      </w:r>
    </w:p>
    <w:p>
      <w:pPr>
        <w:keepNext/>
        <w:spacing w:after="6" w:before="40"/>
        <w:jc w:val="center"/>
      </w:pPr>
      <w:r>
        <w:drawing>
          <wp:inline distT="0" distB="0" distL="0" distR="0">
            <wp:extent cx="3838575" cy="28765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3857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3-8 The sonar sector grid: a circular search area divided into angular sectors, with the target sector highlighted (3D rendering)</w:t>
      </w:r>
    </w:p>
    <w:p>
      <w:pPr>
        <w:keepNext/>
        <w:spacing w:after="10" w:before="60"/>
        <w:jc w:val="center"/>
      </w:pPr>
      <w:r>
        <w:rPr>
          <w:rFonts w:ascii="Times New Roman" w:eastAsia="SimSun"/>
          <w:b/>
          <w:bCs/>
          <w:sz w:val="21"/>
          <w:szCs w:val="21"/>
        </w:rPr>
        <w:t xml:space="preserve">Table 3-2b Success rate under four prior types (Medium base scenarios, 1000 episodes per cell, 5 seeds for stochastic methods). Only methods that consume the prior (Belief-Greedy, POMCP) are affected by prior poisoning; blind-search learned policies are structurally prior-invariant.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Uniform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Correct</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Biased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Adversarial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Prior-sensitive?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(prior-free)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(prior-free)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0.847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0.962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0.422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 collapses</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0.771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0.909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0.547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 degrades</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No (blind)</w:t>
            </w:r>
          </w:p>
        </w:tc>
      </w:tr>
    </w:tbl>
    <w:p>
      <w:pPr>
        <w:spacing w:after="20"/>
      </w:pPr>
    </w:p>
    <w:p>
      <w:pPr>
        <w:spacing w:line="240"/>
        <w:ind w:firstLine="480"/>
        <w:jc w:val="both"/>
      </w:pPr>
      <w:r>
        <w:rPr>
          <w:rFonts w:ascii="Times New Roman" w:eastAsia="SimSun"/>
          <w:color w:val="000000"/>
          <w:sz w:val="24"/>
          <w:szCs w:val="24"/>
        </w:rPr>
        <w:t xml:space="preserve">The prior-bias sweep separates the nine methods into two structurally distinct classes (Table 3-2b). Methods that consume the prior degrade as the prior worsens: Belief-Greedy falls from 0.962 (correct) to 0.000 (adversarial), and even POMCP — despite planning on the true observation model — falls from 0.909 to 0.317, because its particle filter is initialized from the poisoned prior and 20 pings are insufficient to wash it out. Blind-search learned policies (DQN, PPO, DQN-GRU, PPO-Stack, MuZero) are structurally prior-invariant: their observation stream contains no belief, so the prior cannot mislead them, and their success rate is unchanged across the four conditions. On the Hard difficulty (biased prior by construction), this structural immunity is exactly what lets MuZero (0.278) surpass both Belief-Greedy (0.000) and POMCP (0.173). The KL-divergence trajectories (Figure 3-9e) show that the belief filter itself does recover within a few pings — the failure of belief-consuming methods is therefore not a filtering failure but a decision-level one: greedy and short-horizon exploitation of a wrong posterior cannot afford the exploration needed to correct it.</w:t>
      </w:r>
    </w:p>
    <w:p>
      <w:pPr>
        <w:keepNext/>
        <w:spacing w:after="6" w:before="40"/>
        <w:jc w:val="center"/>
      </w:pPr>
      <w:r>
        <w:drawing>
          <wp:inline distT="0" distB="0" distL="0" distR="0">
            <wp:extent cx="3305175" cy="28765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0517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3-9 Prior-bias robustness: (a)-(d) four initial belief types over 16 sectors, (e) KL divergence correction over pings, (f) success rate under different priors</w:t>
      </w:r>
    </w:p>
    <w:p>
      <w:pPr>
        <w:keepNext/>
        <w:spacing w:after="6" w:before="40"/>
        <w:jc w:val="center"/>
      </w:pPr>
      <w:r>
        <w:drawing>
          <wp:inline distT="0" distB="0" distL="0" distR="0">
            <wp:extent cx="4191000" cy="28765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3-10 Belief correction over pings: KL divergence from true target under different initial priors</w:t>
      </w:r>
    </w:p>
    <w:p>
      <w:pPr>
        <w:keepNext/>
        <w:spacing w:after="6" w:before="40"/>
        <w:jc w:val="center"/>
      </w:pPr>
      <w:r>
        <w:drawing>
          <wp:inline distT="0" distB="0" distL="0" distR="0">
            <wp:extent cx="3838575" cy="28765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3857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2-3 The two-level sonar simulation environment: Level 1 detection-probability abstraction vs Level 2 signal-level simulation</w:t>
      </w:r>
    </w:p>
    <w:p>
      <w:pPr>
        <w:pStyle w:val="Heading2"/>
        <w:keepNext/>
        <w:spacing w:after="60" w:before="130" w:line="280"/>
      </w:pPr>
      <w:r>
        <w:rPr>
          <w:rFonts w:ascii="Times New Roman" w:eastAsia="SimSun"/>
          <w:b/>
          <w:bCs/>
          <w:color w:val="000000"/>
          <w:sz w:val="30"/>
          <w:szCs w:val="30"/>
        </w:rPr>
        <w:t xml:space="preserve">3.6 Level-1 vs Level-2 consistency</w:t>
      </w:r>
    </w:p>
    <w:p>
      <w:pPr>
        <w:spacing w:line="24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keepNext/>
        <w:spacing w:after="6" w:before="40"/>
        <w:jc w:val="center"/>
      </w:pPr>
      <w:r>
        <w:drawing>
          <wp:inline distT="0" distB="0" distL="0" distR="0">
            <wp:extent cx="5029200" cy="2219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21932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3-11 Level-1 vs Level-2 environment comparison (method rankings consistent)</w:t>
      </w:r>
    </w:p>
    <w:p>
      <w:pPr>
        <w:pStyle w:val="Heading2"/>
        <w:keepNext/>
        <w:spacing w:after="60" w:before="130" w:line="280"/>
      </w:pPr>
      <w:r>
        <w:rPr>
          <w:rFonts w:ascii="Times New Roman" w:eastAsia="SimSun"/>
          <w:b/>
          <w:bCs/>
          <w:color w:val="000000"/>
          <w:sz w:val="30"/>
          <w:szCs w:val="30"/>
        </w:rPr>
        <w:t xml:space="preserve">3.7 Mechanism analysis</w:t>
      </w:r>
    </w:p>
    <w:p>
      <w:pPr>
        <w:spacing w:line="24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keepNext/>
        <w:spacing w:after="6" w:before="40"/>
        <w:jc w:val="center"/>
      </w:pPr>
      <w:r>
        <w:drawing>
          <wp:inline distT="0" distB="0" distL="0" distR="0">
            <wp:extent cx="3838575" cy="28765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3857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3-12 Belief evolution over pings: the belief distribution sharpens from uniform to a single peak as evidence accumulates (3D rendering)</w:t>
      </w:r>
    </w:p>
    <w:p>
      <w:pPr>
        <w:keepNext/>
        <w:spacing w:after="6" w:before="40"/>
        <w:jc w:val="center"/>
      </w:pPr>
      <w:r>
        <w:drawing>
          <wp:inline distT="0" distB="0" distL="0" distR="0">
            <wp:extent cx="3962400" cy="28765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962400"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3-13 Mechanism analysis: (a) belief evolution heatmap, (b) search trajectory, (c) MCTS root visit distribution, (d) raw network policy vs MCTS-improved policy</w:t>
      </w:r>
    </w:p>
    <w:p>
      <w:pPr>
        <w:pStyle w:val="Heading2"/>
        <w:keepNext/>
        <w:spacing w:after="60" w:before="130" w:line="280"/>
      </w:pPr>
      <w:r>
        <w:rPr>
          <w:rFonts w:ascii="Times New Roman" w:eastAsia="SimSun"/>
          <w:b/>
          <w:bCs/>
          <w:color w:val="000000"/>
          <w:sz w:val="30"/>
          <w:szCs w:val="30"/>
        </w:rPr>
        <w:t xml:space="preserve">3.8 Computational cost</w:t>
      </w:r>
    </w:p>
    <w:p>
      <w:pPr>
        <w:keepNext/>
        <w:spacing w:after="10" w:before="60"/>
        <w:jc w:val="center"/>
      </w:pPr>
      <w:r>
        <w:rPr>
          <w:rFonts w:ascii="Times New Roman" w:eastAsia="SimSun"/>
          <w:b/>
          <w:bCs/>
          <w:sz w:val="21"/>
          <w:szCs w:val="21"/>
        </w:rPr>
        <w:t xml:space="preserve">Table 3-7 Computational cost comparison (Medium difficulty; latency = per-step action-selection time; wall-clock = cumulative training time per seed, 2×10⁶ env steps)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Decision latency (ms)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Training wall-clock (h/seed)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4.50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(planner)</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0.15</w:t>
            </w:r>
          </w:p>
        </w:tc>
      </w:tr>
      <w:tr>
        <w:trPr>
          <w:cantSplit/>
        </w:trPr>
        <w:tc>
          <w:tcPr>
            <w:tcW w:type="pct" w:w="165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165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6.75</w:t>
            </w:r>
          </w:p>
        </w:tc>
        <w:tc>
          <w:tcPr>
            <w:tcW w:type="pct" w:w="165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3.09</w:t>
            </w:r>
          </w:p>
        </w:tc>
      </w:tr>
    </w:tbl>
    <w:p>
      <w:pPr>
        <w:spacing w:after="20"/>
      </w:pPr>
    </w:p>
    <w:p>
      <w:pPr>
        <w:spacing w:line="240"/>
        <w:ind w:firstLine="480"/>
        <w:jc w:val="both"/>
      </w:pPr>
      <w:r>
        <w:rPr>
          <w:rFonts w:ascii="Times New Roman" w:eastAsia="SimSun"/>
          <w:color w:val="000000"/>
          <w:sz w:val="24"/>
          <w:szCs w:val="24"/>
        </w:rPr>
        <w:t xml:space="preserve">MuZero's advantage comes at a cost: its per-step decision latency is 6.7 ms versus &lt;0.05 ms for the feed-forward baselines (a factor of ~200), driven by MCTS with 100 simulations and depth-5 planning; training wall-clock is 3.1 h/seed versus 0.10–0.16 h/seed for the model-free methods. POMCP, the other search-based method, shows the same cost profile (4.5 ms/step), confirming that lookahead planning — not the learned model per se — is the source of the latency. This performance-compute tradeoff is the price of planning and must be weighed against the detection gain.</w:t>
      </w:r>
    </w:p>
    <w:p>
      <w:pPr>
        <w:keepNext/>
        <w:spacing w:after="6" w:before="40"/>
        <w:jc w:val="center"/>
      </w:pPr>
      <w:r>
        <w:drawing>
          <wp:inline distT="0" distB="0" distL="0" distR="0">
            <wp:extent cx="4476750" cy="28765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3-14 MCTS simulation count vs decision latency (performance-compute tradeoff)</w:t>
      </w:r>
    </w:p>
    <w:p>
      <w:pPr>
        <w:keepNext/>
        <w:spacing w:after="6" w:before="40"/>
        <w:jc w:val="center"/>
      </w:pPr>
      <w:r>
        <w:drawing>
          <wp:inline distT="0" distB="0" distL="0" distR="0">
            <wp:extent cx="4314825" cy="28765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1482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3-15 Success rate vs decision latency tradeoff across methods</w:t>
      </w:r>
    </w:p>
    <w:p>
      <w:pPr>
        <w:pStyle w:val="Heading2"/>
        <w:keepNext/>
        <w:spacing w:after="60" w:before="130" w:line="280"/>
      </w:pPr>
      <w:r>
        <w:rPr>
          <w:rFonts w:ascii="Times New Roman" w:eastAsia="SimSun"/>
          <w:b/>
          <w:bCs/>
          <w:color w:val="000000"/>
          <w:sz w:val="30"/>
          <w:szCs w:val="30"/>
        </w:rPr>
        <w:t xml:space="preserve">3.9 Training dynamics</w:t>
      </w:r>
    </w:p>
    <w:p>
      <w:pPr>
        <w:spacing w:line="240"/>
        <w:ind w:firstLine="480"/>
        <w:jc w:val="both"/>
      </w:pPr>
      <w:r>
        <w:rPr>
          <w:rFonts w:ascii="Times New Roman" w:eastAsia="SimSun"/>
          <w:color w:val="000000"/>
          <w:sz w:val="24"/>
          <w:szCs w:val="24"/>
        </w:rPr>
        <w:t xml:space="preserve">Training curves (Figure 3-16) show the learning dynamics of the five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(blind search), MuZero converges to the highest validation success rate, followed by DQN-GRU and PPO-Stack — the recurrent and frame-stacked variants clearly surpass their feed-forward counterparts but remain well below MuZero, mirroring the test-time ordering.</w:t>
      </w:r>
    </w:p>
    <w:p>
      <w:pPr>
        <w:keepNext/>
        <w:spacing w:after="6" w:before="40"/>
        <w:jc w:val="center"/>
      </w:pPr>
      <w:r>
        <w:drawing>
          <wp:inline distT="0" distB="0" distL="0" distR="0">
            <wp:extent cx="5029200" cy="21240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29200" cy="212407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3-16 Training curves (episode return and training success rate vs environment steps)</w:t>
      </w:r>
    </w:p>
    <w:p>
      <w:pPr>
        <w:pStyle w:val="Heading2"/>
        <w:keepNext/>
        <w:spacing w:after="60" w:before="130" w:line="280"/>
      </w:pPr>
      <w:r>
        <w:rPr>
          <w:rFonts w:ascii="Times New Roman" w:eastAsia="SimSun"/>
          <w:b/>
          <w:bCs/>
          <w:color w:val="000000"/>
          <w:sz w:val="30"/>
          <w:szCs w:val="30"/>
        </w:rPr>
        <w:t xml:space="preserve">3.10 Case studies</w:t>
      </w:r>
    </w:p>
    <w:p>
      <w:pPr>
        <w:spacing w:line="24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 3-17) show how each policy's probing logic differs.</w:t>
      </w:r>
    </w:p>
    <w:p>
      <w:pPr>
        <w:keepNext/>
        <w:spacing w:after="6" w:before="40"/>
        <w:jc w:val="center"/>
      </w:pPr>
      <w:r>
        <w:drawing>
          <wp:inline distT="0" distB="0" distL="0" distR="0">
            <wp:extent cx="3381375" cy="28765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81375" cy="28765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3-17 Four case studies: (a) correct prior + low noise, (b) wrong prior + high noise, (c) consecutive misses, (d) false alarm</w:t>
      </w:r>
    </w:p>
    <w:p>
      <w:pPr>
        <w:pStyle w:val="Heading1"/>
        <w:keepNext/>
        <w:spacing w:after="80" w:before="160" w:line="280"/>
        <w:jc w:val="center"/>
      </w:pPr>
      <w:r>
        <w:rPr>
          <w:rFonts w:ascii="Times New Roman" w:eastAsia="SimSun"/>
          <w:b/>
          <w:bCs/>
          <w:color w:val="000000"/>
          <w:sz w:val="32"/>
          <w:szCs w:val="32"/>
        </w:rPr>
        <w:t xml:space="preserve">4. Discussion</w:t>
      </w:r>
    </w:p>
    <w:p>
      <w:pPr>
        <w:pStyle w:val="Heading2"/>
        <w:keepNext/>
        <w:spacing w:after="60" w:before="130" w:line="280"/>
      </w:pPr>
      <w:r>
        <w:rPr>
          <w:rFonts w:ascii="Times New Roman" w:eastAsia="SimSun"/>
          <w:b/>
          <w:bCs/>
          <w:color w:val="000000"/>
          <w:sz w:val="30"/>
          <w:szCs w:val="30"/>
        </w:rPr>
        <w:t xml:space="preserve">4.1 When does planning pay off?</w:t>
      </w:r>
    </w:p>
    <w:p>
      <w:pPr>
        <w:spacing w:line="24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keepNext/>
        <w:spacing w:after="60" w:before="130" w:line="280"/>
      </w:pPr>
      <w:r>
        <w:rPr>
          <w:rFonts w:ascii="Times New Roman" w:eastAsia="SimSun"/>
          <w:b/>
          <w:bCs/>
          <w:color w:val="000000"/>
          <w:sz w:val="30"/>
          <w:szCs w:val="30"/>
        </w:rPr>
        <w:t xml:space="preserve">4.2 Why does DQN dominate in Regime 1?</w:t>
      </w:r>
    </w:p>
    <w:p>
      <w:pPr>
        <w:spacing w:line="24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keepNext/>
        <w:spacing w:after="60" w:before="130" w:line="280"/>
      </w:pPr>
      <w:r>
        <w:rPr>
          <w:rFonts w:ascii="Times New Roman" w:eastAsia="SimSun"/>
          <w:b/>
          <w:bCs/>
          <w:color w:val="000000"/>
          <w:sz w:val="30"/>
          <w:szCs w:val="30"/>
        </w:rPr>
        <w:t xml:space="preserve">4.3 The role of MCTS and memory</w:t>
      </w:r>
    </w:p>
    <w:p>
      <w:pPr>
        <w:spacing w:line="240"/>
        <w:ind w:firstLine="480"/>
        <w:jc w:val="both"/>
      </w:pPr>
      <w:r>
        <w:rPr>
          <w:rFonts w:ascii="Times New Roman" w:eastAsia="SimSun"/>
          <w:color w:val="000000"/>
          <w:sz w:val="24"/>
          <w:szCs w:val="24"/>
        </w:rPr>
        <w:t xml:space="preserve">Two independent lines of evidence decompose MuZero's advantage into memory and planning. Within MuZero itself, ablation A (removing MCTS at evaluation) costs −0.18 SR and ablation E (removing GRU memory) costs −0.07 SR in blind search. Across methods, the memory-augmented baselines bound the value of memory without planning: DQN-GRU recovers +0.11 SR over DQN on Medium, and PPO-Stack +0.04 over PPO — together roughly one-third of MuZero's +0.34 advantage over the feed-forward baselines. The remaining two-thirds is attributable to lookahead over the learned model. The agreement between the within-agent ablation and the cross-agent comparison strengthens the causal attribution: it is the combination of recurrent state and tree search, not either alone, that closes the gap to the oracle planner.</w:t>
      </w:r>
    </w:p>
    <w:p>
      <w:pPr>
        <w:spacing w:line="240"/>
        <w:ind w:firstLine="480"/>
        <w:jc w:val="both"/>
      </w:pPr>
      <w:r>
        <w:rPr>
          <w:rFonts w:ascii="Times New Roman" w:eastAsia="SimSun"/>
          <w:color w:val="000000"/>
          <w:sz w:val="24"/>
          <w:szCs w:val="24"/>
        </w:rPr>
        <w:t xml:space="preserve">The POMCP comparison further clarifies the value of model knowledge. With the true observation model, POMCP reaches SR = 0.911 on Medium — the effective ceiling — while the best model-free method reaches only 0.448 and MuZero reaches 0.679. In other words, MuZero's learned model recovers about two-thirds of the oracle gap between DQN and POMCP ((0.679−0.335)/(0.911−0.335) ≈ 0.60) without ever observing the model. When the prior is misspecified (Hard), the direction reverses: exact particle-filter inference over a wrong prior (POMCP 0.173, Belief-Greedy 0.000) is brittle, whereas the learned policy — exposed to prior bias during domain-randomized training — degrades gracefully (0.278). Learned robustness and oracle accuracy are complementary strengths; the choice between them is a deployment decision about which assumption is safer: an approximately known model, or a distributionally robust policy.</w:t>
      </w:r>
    </w:p>
    <w:p>
      <w:pPr>
        <w:pStyle w:val="Heading2"/>
        <w:keepNext/>
        <w:spacing w:after="60" w:before="130" w:line="280"/>
      </w:pPr>
      <w:r>
        <w:rPr>
          <w:rFonts w:ascii="Times New Roman" w:eastAsia="SimSun"/>
          <w:b/>
          <w:bCs/>
          <w:color w:val="000000"/>
          <w:sz w:val="30"/>
          <w:szCs w:val="30"/>
        </w:rPr>
        <w:t xml:space="preserve">4.4 Limitations</w:t>
      </w:r>
    </w:p>
    <w:p>
      <w:pPr>
        <w:spacing w:line="240"/>
        <w:ind w:firstLine="480"/>
        <w:jc w:val="both"/>
      </w:pPr>
      <w:r>
        <w:rPr>
          <w:rFonts w:ascii="Times New Roman" w:eastAsia="SimSun"/>
          <w:color w:val="000000"/>
          <w:sz w:val="24"/>
          <w:szCs w:val="24"/>
        </w:rPr>
        <w:t xml:space="preserve">Several limitations must be noted. First,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 Sixth, our planner comparison uses POMCP as the representative online POMDP solver; anytime planners with stronger sample efficiency (e.g., DESPOT, PFT-DPW) might close more of the oracle gap, although we stress that POMCP already had access to the true observation model — an advantage no deployable method possesses. The memory-augmented baselines (DQN-GRU, PPO-Stack) received one hyperparameter pass inherited from their feed-forward counterparts; per-method tuning could shift individual numbers, but the qualitative ordering was stable across five seeds and three difficulties.</w:t>
      </w:r>
    </w:p>
    <w:p>
      <w:pPr>
        <w:pStyle w:val="Heading2"/>
        <w:keepNext/>
        <w:spacing w:after="60" w:before="130" w:line="280"/>
      </w:pPr>
      <w:r>
        <w:rPr>
          <w:rFonts w:ascii="Times New Roman" w:eastAsia="SimSun"/>
          <w:b/>
          <w:bCs/>
          <w:color w:val="000000"/>
          <w:sz w:val="30"/>
          <w:szCs w:val="30"/>
        </w:rPr>
        <w:t xml:space="preserve">4.5 Implications for adaptive sonar design</w:t>
      </w:r>
    </w:p>
    <w:p>
      <w:pPr>
        <w:spacing w:line="240"/>
        <w:ind w:firstLine="480"/>
        <w:jc w:val="both"/>
      </w:pPr>
      <w:r>
        <w:rPr>
          <w:rFonts w:ascii="Times New Roman" w:eastAsia="SimSun"/>
          <w:color w:val="000000"/>
          <w:sz w:val="24"/>
          <w:szCs w:val="24"/>
        </w:rPr>
        <w:t xml:space="preserve">The practical implication is a conditional design rule. Use reactive policies (Belief-Greedy) when a well-calibrated belief filter is available and the prior is trustworthy; if the observation model itself is known precisely, an online POMDP planner such as POMCP is near-optimal and training-free. Switch to MuZero-style learned planning when belief sufficiency is degraded — when the detection probability is unknown or drifting, when priors may be biased or adversarial, or when the sensor cannot maintain a reliable filter. Finally, keep the sequential scan in the toolbox: being information-free, it is immune to prior poisoning and sets a robust floor (Hard SR = 0.432) that no learned method in our study crossed.</w:t>
      </w:r>
    </w:p>
    <w:p>
      <w:pPr>
        <w:pStyle w:val="Heading1"/>
        <w:keepNext/>
        <w:spacing w:after="80" w:before="160" w:line="280"/>
        <w:jc w:val="center"/>
      </w:pPr>
      <w:r>
        <w:rPr>
          <w:rFonts w:ascii="Times New Roman" w:eastAsia="SimSun"/>
          <w:b/>
          <w:bCs/>
          <w:color w:val="000000"/>
          <w:sz w:val="32"/>
          <w:szCs w:val="32"/>
        </w:rPr>
        <w:t xml:space="preserve">5. Conclusion</w:t>
      </w:r>
    </w:p>
    <w:p>
      <w:pPr>
        <w:spacing w:line="24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(eight baselines including a known-model POMDP planner and memory-augmented RL, five seeds, paired scenarios, Holm-corrected statistical tests). Our results show that MuZero's advantage is conditional on the observation regime and prior quality: when belief is directly observable, reactive methods win; when the agent must infer target state from raw interaction history, MuZero significantly outperforms all learned baselines (Medium ΔSR = +0.23 to +0.38 over the strongest learned competitors, p &lt; 0.001), recovers about 60% of the oracle gap to a true-model POMCP planner, and is uniquely robust to biased priors among non-trivial policies (Hard SR = 0.278 vs POMCP 0.173, Belief-Greedy 0.000). The contribution is not a new algorithm but a boundary characterization — a map of when learned planning pays off in active sonar search — together with an open, reproducible benchmark. Future work will extend to continuous beam steering, waveform parameter adaptation, moving targets, multi-target scenarios, and real sea trials.</w:t>
      </w:r>
    </w:p>
    <w:p>
      <w:pPr>
        <w:pStyle w:val="Heading1"/>
        <w:keepNext/>
        <w:spacing w:after="80" w:before="160" w:line="280"/>
        <w:jc w:val="center"/>
      </w:pPr>
      <w:r>
        <w:rPr>
          <w:rFonts w:ascii="Times New Roman" w:eastAsia="SimSun"/>
          <w:b/>
          <w:bCs/>
          <w:color w:val="000000"/>
          <w:sz w:val="32"/>
          <w:szCs w:val="32"/>
        </w:rPr>
        <w:t xml:space="preserve">Declarations</w:t>
      </w:r>
    </w:p>
    <w:p>
      <w:pPr>
        <w:spacing w:line="240"/>
        <w:jc w:val="both"/>
      </w:pPr>
      <w:r>
        <w:rPr>
          <w:rFonts w:ascii="Times New Roman" w:eastAsia="SimSun"/>
          <w:color w:val="000000"/>
          <w:sz w:val="24"/>
          <w:szCs w:val="24"/>
        </w:rPr>
        <w:t xml:space="preserve">Funding: Not applicable.</w:t>
      </w:r>
    </w:p>
    <w:p>
      <w:pPr>
        <w:spacing w:line="240"/>
        <w:jc w:val="both"/>
      </w:pPr>
      <w:r>
        <w:rPr>
          <w:rFonts w:ascii="Times New Roman" w:eastAsia="SimSun"/>
          <w:color w:val="000000"/>
          <w:sz w:val="24"/>
          <w:szCs w:val="24"/>
        </w:rPr>
        <w:t xml:space="preserve">Competing interests: The authors declare no competing interests.</w:t>
      </w:r>
    </w:p>
    <w:p>
      <w:pPr>
        <w:spacing w:line="24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24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keepNext/>
        <w:spacing w:after="80" w:before="160" w:line="280"/>
        <w:jc w:val="center"/>
      </w:pPr>
      <w:r>
        <w:rPr>
          <w:rFonts w:ascii="Times New Roman" w:eastAsia="SimSun"/>
          <w:b/>
          <w:bCs/>
          <w:color w:val="000000"/>
          <w:sz w:val="32"/>
          <w:szCs w:val="32"/>
        </w:rPr>
        <w:t xml:space="preserve">References</w:t>
      </w:r>
    </w:p>
    <w:p>
      <w:pPr>
        <w:spacing w:line="240"/>
        <w:ind w:left="420" w:hanging="420"/>
      </w:pPr>
      <w:r>
        <w:rPr>
          <w:rFonts w:ascii="Times New Roman" w:eastAsia="SimSun"/>
          <w:sz w:val="21"/>
          <w:szCs w:val="21"/>
        </w:rPr>
        <w:t xml:space="preserve">[1] Urick R J. Principles of Underwater Sound. 3rd ed. New York: McGraw-Hill, 1983.</w:t>
      </w:r>
    </w:p>
    <w:p>
      <w:pPr>
        <w:spacing w:line="24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24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24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240"/>
        <w:ind w:left="420" w:hanging="420"/>
      </w:pPr>
      <w:r>
        <w:rPr>
          <w:rFonts w:ascii="Times New Roman" w:eastAsia="SimSun"/>
          <w:sz w:val="21"/>
          <w:szCs w:val="21"/>
        </w:rPr>
        <w:t xml:space="preserve">[5] Schulman J, Wolski F, Dhariwal P, et al. Proximal policy optimization algorithms. arXiv preprint arXiv:1707.06347, 2017.</w:t>
      </w:r>
    </w:p>
    <w:p>
      <w:pPr>
        <w:spacing w:line="240"/>
        <w:ind w:left="420" w:hanging="420"/>
      </w:pPr>
      <w:r>
        <w:rPr>
          <w:rFonts w:ascii="Times New Roman" w:eastAsia="SimSun"/>
          <w:sz w:val="21"/>
          <w:szCs w:val="21"/>
        </w:rPr>
        <w:t xml:space="preserve">[6] Haykin S. Cognitive radar: a way of the future. IEEE Signal Processing Magazine, 2006, 23(1): 30-40.</w:t>
      </w:r>
    </w:p>
    <w:p>
      <w:pPr>
        <w:spacing w:line="24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24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24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24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24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24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24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24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24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24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24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24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24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24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24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24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24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24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24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24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24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24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24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24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24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24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24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p>
      <w:pPr>
        <w:spacing w:line="240"/>
        <w:ind w:left="420" w:hanging="420"/>
      </w:pPr>
      <w:r>
        <w:rPr>
          <w:rFonts w:ascii="Times New Roman" w:eastAsia="SimSun"/>
          <w:sz w:val="21"/>
          <w:szCs w:val="21"/>
        </w:rPr>
        <w:t xml:space="preserve">[34] Silver D, Veness J. Monte-Carlo planning in large POMDPs. In: Advances in Neural Information Processing Systems. 2010, 23: 2164-2172.</w:t>
      </w:r>
    </w:p>
    <w:p>
      <w:pPr>
        <w:spacing w:line="240"/>
        <w:ind w:left="420" w:hanging="420"/>
      </w:pPr>
      <w:r>
        <w:rPr>
          <w:rFonts w:ascii="Times New Roman" w:eastAsia="SimSun"/>
          <w:sz w:val="21"/>
          <w:szCs w:val="21"/>
        </w:rPr>
        <w:t xml:space="preserve">[35] Cho K, van Merriënboer B, Gulcehre C, et al. Learning phrase representations using RNN encoder-decoder for statistical machine translation. In: Proc. Conference on Empirical Methods in Natural Language Processing. 2014: 1724-1734.</w:t>
      </w:r>
    </w:p>
    <w:p>
      <w:pPr>
        <w:spacing w:line="240"/>
        <w:ind w:left="420" w:hanging="420"/>
      </w:pPr>
      <w:r>
        <w:rPr>
          <w:rFonts w:ascii="Times New Roman" w:eastAsia="SimSun"/>
          <w:sz w:val="21"/>
          <w:szCs w:val="21"/>
        </w:rPr>
        <w:t xml:space="preserve">[36] Hausknecht M, Stone P. Deep recurrent Q-learning for partially observable MDPs. In: AAAI Fall Symposium Series. 2015: 29-37.</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96bf99c1d0131e5967ee79a92815f4e06755673.png"/><Relationship Id="rId10" Type="http://schemas.openxmlformats.org/officeDocument/2006/relationships/image" Target="media/51d0cf06c15f909b7d1a5fef4bf4d1c3e728574a.png"/><Relationship Id="rId11" Type="http://schemas.openxmlformats.org/officeDocument/2006/relationships/image" Target="media/3b5fe7cf3f6f05617cdd0f900d81e985c77cbb87.png"/><Relationship Id="rId12" Type="http://schemas.openxmlformats.org/officeDocument/2006/relationships/image" Target="media/e616105a49eef46ac14fc5c8029198417864c43b.png"/><Relationship Id="rId13" Type="http://schemas.openxmlformats.org/officeDocument/2006/relationships/image" Target="media/8350d81e375b0b87a8fa5aef15a7886819770b79.png"/><Relationship Id="rId14" Type="http://schemas.openxmlformats.org/officeDocument/2006/relationships/image" Target="media/8f2fb5d4c590ebff6bba30fb62550076a28f214b.png"/><Relationship Id="rId15" Type="http://schemas.openxmlformats.org/officeDocument/2006/relationships/image" Target="media/2fa3c1eea42446f34fb0945726d4c5972ed560cf.png"/><Relationship Id="rId16" Type="http://schemas.openxmlformats.org/officeDocument/2006/relationships/image" Target="media/ef6c52735974f540fb26cfa67c9ed0b138b6e138.png"/><Relationship Id="rId17" Type="http://schemas.openxmlformats.org/officeDocument/2006/relationships/image" Target="media/991e29518c8212611d8d3ad93ebcba3229567c1c.png"/><Relationship Id="rId18" Type="http://schemas.openxmlformats.org/officeDocument/2006/relationships/image" Target="media/2c423c4667b71787c658ba04c28cf29c546e0546.png"/><Relationship Id="rId19" Type="http://schemas.openxmlformats.org/officeDocument/2006/relationships/image" Target="media/5a8a974b7221ab3ac1daf172156bd4fee9515ad3.png"/><Relationship Id="rId20" Type="http://schemas.openxmlformats.org/officeDocument/2006/relationships/image" Target="media/a03fb6e4de3f8e9837738abb106068bbb7907691.png"/><Relationship Id="rId21" Type="http://schemas.openxmlformats.org/officeDocument/2006/relationships/image" Target="media/65d43cebcc0f6a0bdeb8eb1be1820b8e1506c86b.png"/><Relationship Id="rId22" Type="http://schemas.openxmlformats.org/officeDocument/2006/relationships/image" Target="media/43aa11f92939136fd78e5e2dbd0db46c4c2c87c9.png"/><Relationship Id="rId23" Type="http://schemas.openxmlformats.org/officeDocument/2006/relationships/image" Target="media/82cff0f5be572b42cc8788e7ed210271828a15b9.png"/><Relationship Id="rId24" Type="http://schemas.openxmlformats.org/officeDocument/2006/relationships/image" Target="media/596530398fab940a0213aa6741468aa4e164283f.png"/><Relationship Id="rId25" Type="http://schemas.openxmlformats.org/officeDocument/2006/relationships/image" Target="media/be42dfe6c02afc45d917f5819b55a0cc3fe50fb3.png"/><Relationship Id="rId26" Type="http://schemas.openxmlformats.org/officeDocument/2006/relationships/image" Target="media/150cd9bc410232d0ed57136101b839c00a767fcc.png"/><Relationship Id="rId27" Type="http://schemas.openxmlformats.org/officeDocument/2006/relationships/image" Target="media/683a4383e9a2189c6e5bb24e7e91c15edd73b86f.png"/><Relationship Id="rId28" Type="http://schemas.openxmlformats.org/officeDocument/2006/relationships/image" Target="media/294dbebfcb22c137b3901da5ac39cb83ff4095c0.png"/><Relationship Id="rId29" Type="http://schemas.openxmlformats.org/officeDocument/2006/relationships/image" Target="media/be2012b7f6df48ffa43d75a6ae029e042bcdd884.png"/><Relationship Id="rId30" Type="http://schemas.openxmlformats.org/officeDocument/2006/relationships/image" Target="media/5dac5a88e7c9586d759c440dabebd3a7e3eee0b0.png"/><Relationship Id="rId31" Type="http://schemas.openxmlformats.org/officeDocument/2006/relationships/image" Target="media/78132d22a6f4ad0cba9b79d66f4e7efda47b7580.png"/><Relationship Id="rId32" Type="http://schemas.openxmlformats.org/officeDocument/2006/relationships/image" Target="media/3c8fc4349266c7539232ddcab2ba9cd8566807a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2026-10-20T10:33:59.841Z</dcterms:created>
  <dcterms:modified xsi:type="dcterms:W3CDTF">2026-10-20T10:33:59.842Z</dcterms:modified>
</cp:coreProperties>
</file>

<file path=docProps/custom.xml><?xml version="1.0" encoding="utf-8"?>
<Properties xmlns="http://schemas.openxmlformats.org/officeDocument/2006/custom-properties" xmlns:vt="http://schemas.openxmlformats.org/officeDocument/2006/docPropsVTypes"/>
</file>