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F0C28">
      <w:pPr>
        <w:tabs>
          <w:tab w:val="left" w:pos="930"/>
        </w:tabs>
        <w:spacing w:after="500" w:line="288" w:lineRule="auto"/>
        <w:jc w:val="center"/>
        <w:rPr>
          <w:rFonts w:ascii="微软雅黑" w:hAnsi="微软雅黑" w:eastAsia="微软雅黑"/>
          <w:bCs/>
          <w:sz w:val="27"/>
          <w:szCs w:val="52"/>
        </w:rPr>
      </w:pPr>
      <w:r>
        <w:rPr>
          <w:rFonts w:hint="eastAsia" w:ascii="微软雅黑" w:hAnsi="微软雅黑" w:eastAsia="微软雅黑"/>
          <w:bCs/>
          <w:sz w:val="27"/>
          <w:szCs w:val="52"/>
        </w:rPr>
        <w:t>河北大学</w:t>
      </w:r>
    </w:p>
    <w:p w14:paraId="5FCB93DD">
      <w:pPr>
        <w:tabs>
          <w:tab w:val="left" w:pos="930"/>
        </w:tabs>
        <w:spacing w:after="500" w:line="288" w:lineRule="auto"/>
        <w:jc w:val="center"/>
        <w:rPr>
          <w:rFonts w:ascii="微软雅黑" w:hAnsi="微软雅黑" w:eastAsia="微软雅黑"/>
          <w:b/>
          <w:bCs/>
          <w:sz w:val="27"/>
          <w:szCs w:val="72"/>
        </w:rPr>
      </w:pPr>
      <w:r>
        <w:rPr>
          <w:rFonts w:hint="eastAsia" w:ascii="微软雅黑" w:hAnsi="微软雅黑" w:eastAsia="微软雅黑"/>
          <w:b/>
          <w:bCs/>
          <w:sz w:val="27"/>
          <w:szCs w:val="72"/>
        </w:rPr>
        <w:t>硕士学位论文开题报告</w:t>
      </w:r>
    </w:p>
    <w:p w14:paraId="4C4F5024">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院（ 中 心 ） ：</w:t>
      </w:r>
      <w:r>
        <w:rPr>
          <w:rFonts w:hint="eastAsia" w:ascii="微软雅黑" w:hAnsi="微软雅黑" w:eastAsia="微软雅黑" w:cs="宋体"/>
          <w:sz w:val="27"/>
          <w:szCs w:val="30"/>
          <w:u w:val="single"/>
        </w:rPr>
        <w:t xml:space="preserve">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管理学院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          </w:t>
      </w:r>
    </w:p>
    <w:p w14:paraId="5694DE84">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学 科、专 业　：</w:t>
      </w:r>
      <w:r>
        <w:rPr>
          <w:rFonts w:hint="eastAsia" w:ascii="微软雅黑" w:hAnsi="微软雅黑" w:eastAsia="微软雅黑" w:cs="宋体"/>
          <w:sz w:val="27"/>
          <w:szCs w:val="30"/>
          <w:u w:val="single"/>
        </w:rPr>
        <w:t xml:space="preserve">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政治经济学              </w:t>
      </w:r>
    </w:p>
    <w:p w14:paraId="1C25CA04">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研 究  方 向  ：</w:t>
      </w:r>
      <w:r>
        <w:rPr>
          <w:rFonts w:hint="eastAsia" w:ascii="微软雅黑" w:hAnsi="微软雅黑" w:eastAsia="微软雅黑" w:cs="宋体"/>
          <w:sz w:val="27"/>
          <w:szCs w:val="30"/>
          <w:u w:val="single"/>
        </w:rPr>
        <w:t xml:space="preserve">                                     </w:t>
      </w:r>
    </w:p>
    <w:p w14:paraId="777EF24F">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指 导  教 师  ：</w:t>
      </w:r>
      <w:r>
        <w:rPr>
          <w:rFonts w:hint="eastAsia" w:ascii="微软雅黑" w:hAnsi="微软雅黑" w:eastAsia="微软雅黑" w:cs="宋体"/>
          <w:sz w:val="27"/>
          <w:szCs w:val="30"/>
          <w:u w:val="single"/>
        </w:rPr>
        <w:t xml:space="preserve">            杨雅茹                   </w:t>
      </w:r>
    </w:p>
    <w:p w14:paraId="28BB5D51">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研   究   生  ：</w:t>
      </w:r>
      <w:r>
        <w:rPr>
          <w:rFonts w:hint="eastAsia" w:ascii="微软雅黑" w:hAnsi="微软雅黑" w:eastAsia="微软雅黑" w:cs="宋体"/>
          <w:sz w:val="27"/>
          <w:szCs w:val="30"/>
          <w:u w:val="single"/>
        </w:rPr>
        <w:t xml:space="preserve">            赵娜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          </w:t>
      </w:r>
    </w:p>
    <w:p w14:paraId="0C168EDF">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入 学  年 月  ：</w:t>
      </w:r>
      <w:r>
        <w:rPr>
          <w:rFonts w:hint="eastAsia" w:ascii="微软雅黑" w:hAnsi="微软雅黑" w:eastAsia="微软雅黑" w:cs="宋体"/>
          <w:sz w:val="27"/>
          <w:szCs w:val="30"/>
          <w:u w:val="single"/>
        </w:rPr>
        <w:t xml:space="preserve">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 2008年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     </w:t>
      </w:r>
    </w:p>
    <w:p w14:paraId="72161FA1">
      <w:pPr>
        <w:spacing w:after="500" w:line="288" w:lineRule="auto"/>
        <w:jc w:val="center"/>
        <w:rPr>
          <w:rFonts w:ascii="微软雅黑" w:hAnsi="微软雅黑" w:eastAsia="微软雅黑"/>
          <w:sz w:val="27"/>
          <w:szCs w:val="30"/>
          <w:u w:val="single"/>
        </w:rPr>
      </w:pPr>
      <w:r>
        <w:rPr>
          <w:rFonts w:hint="eastAsia" w:ascii="微软雅黑" w:hAnsi="微软雅黑" w:eastAsia="微软雅黑" w:cs="宋体"/>
          <w:sz w:val="27"/>
          <w:szCs w:val="30"/>
        </w:rPr>
        <w:t>论 文  题 目  ：</w:t>
      </w:r>
      <w:r>
        <w:rPr>
          <w:rFonts w:hint="eastAsia" w:ascii="微软雅黑" w:hAnsi="微软雅黑" w:eastAsia="微软雅黑" w:cs="宋体"/>
          <w:sz w:val="27"/>
          <w:szCs w:val="30"/>
          <w:u w:val="single"/>
        </w:rPr>
        <w:t>生产者和消费者信息不对称对食品安全的影</w:t>
      </w:r>
    </w:p>
    <w:p w14:paraId="6F5F8037">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u w:val="single"/>
        </w:rPr>
        <w:t xml:space="preserve">响因素分析及对策                      </w:t>
      </w:r>
    </w:p>
    <w:p w14:paraId="08500615">
      <w:pPr>
        <w:spacing w:after="500" w:line="288" w:lineRule="auto"/>
        <w:ind w:firstLine="540" w:firstLineChars="200"/>
        <w:rPr>
          <w:rFonts w:ascii="微软雅黑" w:hAnsi="微软雅黑" w:eastAsia="微软雅黑"/>
          <w:sz w:val="27"/>
          <w:szCs w:val="30"/>
          <w:u w:val="single"/>
        </w:rPr>
      </w:pPr>
      <w:r>
        <w:rPr>
          <w:rFonts w:hint="eastAsia" w:ascii="微软雅黑" w:hAnsi="微软雅黑" w:eastAsia="微软雅黑" w:cs="宋体"/>
          <w:sz w:val="27"/>
          <w:szCs w:val="30"/>
        </w:rPr>
        <w:t>开题报告日期  ：</w:t>
      </w:r>
      <w:r>
        <w:rPr>
          <w:rFonts w:hint="eastAsia" w:ascii="微软雅黑" w:hAnsi="微软雅黑" w:eastAsia="微软雅黑" w:cs="宋体"/>
          <w:sz w:val="27"/>
          <w:szCs w:val="30"/>
          <w:u w:val="single"/>
        </w:rPr>
        <w:t xml:space="preserve">          </w:t>
      </w:r>
      <w:r>
        <w:rPr>
          <w:rFonts w:hint="eastAsia" w:ascii="微软雅黑" w:hAnsi="微软雅黑" w:eastAsia="微软雅黑" w:cs="宋体"/>
          <w:b/>
          <w:sz w:val="27"/>
          <w:szCs w:val="30"/>
          <w:u w:val="single"/>
        </w:rPr>
        <w:t xml:space="preserve">    </w:t>
      </w:r>
      <w:r>
        <w:rPr>
          <w:rFonts w:hint="eastAsia" w:ascii="微软雅黑" w:hAnsi="微软雅黑" w:eastAsia="微软雅黑" w:cs="宋体"/>
          <w:sz w:val="27"/>
          <w:szCs w:val="30"/>
          <w:u w:val="single"/>
        </w:rPr>
        <w:t xml:space="preserve">2009年6月             </w:t>
      </w:r>
    </w:p>
    <w:p w14:paraId="60ED53F2">
      <w:pPr>
        <w:tabs>
          <w:tab w:val="left" w:pos="1905"/>
        </w:tabs>
        <w:spacing w:after="500" w:line="288" w:lineRule="auto"/>
        <w:jc w:val="center"/>
        <w:rPr>
          <w:rFonts w:ascii="微软雅黑" w:hAnsi="微软雅黑" w:eastAsia="微软雅黑"/>
          <w:sz w:val="27"/>
          <w:szCs w:val="30"/>
        </w:rPr>
      </w:pPr>
      <w:r>
        <w:rPr>
          <w:rFonts w:hint="eastAsia" w:ascii="微软雅黑" w:hAnsi="微软雅黑" w:eastAsia="微软雅黑" w:cs="宋体"/>
          <w:sz w:val="27"/>
          <w:szCs w:val="30"/>
        </w:rPr>
        <w:t>研 究 生 学 院</w:t>
      </w:r>
    </w:p>
    <w:p w14:paraId="16301040">
      <w:pPr>
        <w:numPr>
          <w:ilvl w:val="0"/>
          <w:numId w:val="1"/>
        </w:numPr>
        <w:spacing w:after="500" w:line="288" w:lineRule="auto"/>
        <w:ind w:left="0" w:firstLine="540" w:firstLineChars="200"/>
        <w:rPr>
          <w:rFonts w:ascii="微软雅黑" w:hAnsi="微软雅黑" w:eastAsia="微软雅黑"/>
          <w:sz w:val="27"/>
          <w:szCs w:val="30"/>
        </w:rPr>
      </w:pPr>
      <w:r>
        <w:rPr>
          <w:rFonts w:hint="eastAsia" w:ascii="微软雅黑" w:hAnsi="微软雅黑" w:eastAsia="微软雅黑" w:cs="宋体"/>
          <w:sz w:val="27"/>
          <w:szCs w:val="30"/>
        </w:rPr>
        <w:t>题目名称及来源</w:t>
      </w:r>
    </w:p>
    <w:p w14:paraId="32802ACD">
      <w:pPr>
        <w:numPr>
          <w:ilvl w:val="0"/>
          <w:numId w:val="2"/>
        </w:numPr>
        <w:spacing w:after="500" w:line="288" w:lineRule="auto"/>
        <w:ind w:left="0" w:firstLine="540" w:firstLineChars="200"/>
        <w:rPr>
          <w:rFonts w:ascii="微软雅黑" w:hAnsi="微软雅黑" w:eastAsia="微软雅黑"/>
          <w:sz w:val="27"/>
        </w:rPr>
      </w:pPr>
      <w:r>
        <w:rPr>
          <w:rFonts w:hint="eastAsia" w:ascii="微软雅黑" w:hAnsi="微软雅黑" w:eastAsia="微软雅黑" w:cs="宋体"/>
          <w:sz w:val="27"/>
          <w:szCs w:val="28"/>
        </w:rPr>
        <w:t>题目名称：</w:t>
      </w:r>
      <w:r>
        <w:rPr>
          <w:rFonts w:hint="eastAsia" w:ascii="微软雅黑" w:hAnsi="微软雅黑" w:eastAsia="微软雅黑" w:cs="宋体"/>
          <w:sz w:val="27"/>
          <w:szCs w:val="21"/>
        </w:rPr>
        <w:t>河北省城乡居民财产性收入变化趋势研究</w:t>
      </w:r>
    </w:p>
    <w:p w14:paraId="4FF1FD36">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（二）题目来源</w:t>
      </w:r>
    </w:p>
    <w:p w14:paraId="67C061E5">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本文在导师顾六宝教授的指导下，在导师的关于财产性收入课题研究基础上，自拟研究题目。</w:t>
      </w:r>
    </w:p>
    <w:p w14:paraId="0FC9F2BC">
      <w:pPr>
        <w:numPr>
          <w:ilvl w:val="0"/>
          <w:numId w:val="1"/>
        </w:numPr>
        <w:spacing w:after="500" w:line="288" w:lineRule="auto"/>
        <w:ind w:left="0" w:firstLine="540" w:firstLineChars="200"/>
        <w:rPr>
          <w:rFonts w:ascii="微软雅黑" w:hAnsi="微软雅黑" w:eastAsia="微软雅黑"/>
          <w:sz w:val="27"/>
          <w:szCs w:val="30"/>
        </w:rPr>
      </w:pPr>
      <w:r>
        <w:rPr>
          <w:rFonts w:hint="eastAsia" w:ascii="微软雅黑" w:hAnsi="微软雅黑" w:eastAsia="微软雅黑" w:cs="宋体"/>
          <w:sz w:val="27"/>
          <w:szCs w:val="30"/>
        </w:rPr>
        <w:t>研究的目的、意义及现状</w:t>
      </w:r>
    </w:p>
    <w:p w14:paraId="5B512C9A">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（一）研究目的和意义</w:t>
      </w:r>
    </w:p>
    <w:p w14:paraId="41F048B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通过本文的研究，期望达到的目的主要有以下几点：首先，通过分析河北省居民财产性收入的不同来源，找到可以增加居民可支配收入的途径，从而达到提高居民收入的目的；其次，根据居民财产性收入的差距比较，得出低收入群体的影响因素，为达到扩大中等收入阶层的目标，并给出提高低收入群体的财产和收入相应对策和政策建议，第三，实证比较城市居民和农村居民的财产性收入差距，消除造成财产性收入差距的原因。</w:t>
      </w:r>
    </w:p>
    <w:p w14:paraId="085EF085">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改革开放以来，特别是近几年，我国经济保持高速的增长，国内人均可支配收入有了显着提高，从2000年到2002年开始，我国居民收入中的财产性收入呈现大幅增长的态势，其增长速度超过了工资性收入、转移性收入。然而在总量上，财产性收入占居民纯收入的比重只达到2%左右，高的增长速度和极低的比重说明财产性收入还有很大的发展空间，通过“创造条件”，如提高城市居民的工资收入、增加城市居民和农村居民的转移性支付、完善金融市场及其制度规范、加大培养人民群众的理财知识等等，可以提高人民收入，促进资本市场的发展，推动国内经济繁荣，特别是有利于提高人民消费水平，拉动内需。</w:t>
      </w:r>
    </w:p>
    <w:p w14:paraId="7E40B15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党的十七大报告的“加快推进以改善民生为重点的社会建设”一章中提出：创造条件让更多的群众拥有财产性收入，受到了全社会的广泛那关注，引起了人们特别是学术界的热烈讨论。近几年，随着我国经济的持续快速增长，宏观经济形势的巨大变化，居民收入中的财产性收入有了大幅度的增加，说明我国居民收入分配结构开始发生显着的变化，对此进行深入细致的研究,具有重大的理论和现实意义。</w:t>
      </w:r>
    </w:p>
    <w:p w14:paraId="5513999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关于社会主义个人收入分配理论。在社会主义初级阶段，我国实行的是“坚持以按劳分配为主体、多种分配方式并存”的分配制度。财产性收入就属于多种分配方式。财产性收入的提出就发展 “多种分配方式”的内涵和强调了它的重要性。随着个人收入及财产数额的增多，财产性收入由几乎可以忽略不计，发展到现阶段的高速增长，在实践上增加了人们扩大收入来源的途径。对于中低收入阶层的人们来说，积极努力的创造、拥有财产性收入能够提高他们的收入水平，缩小与高收入阶层的收入差距，有利于促进共同富裕。</w:t>
      </w:r>
    </w:p>
    <w:p w14:paraId="20B7C748">
      <w:pPr>
        <w:spacing w:after="500" w:line="288" w:lineRule="auto"/>
        <w:ind w:firstLine="540" w:firstLineChars="200"/>
        <w:rPr>
          <w:rFonts w:ascii="微软雅黑" w:hAnsi="微软雅黑" w:eastAsia="微软雅黑"/>
          <w:color w:val="FF0000"/>
          <w:sz w:val="27"/>
          <w:szCs w:val="21"/>
        </w:rPr>
      </w:pPr>
      <w:r>
        <w:rPr>
          <w:rFonts w:hint="eastAsia" w:ascii="微软雅黑" w:hAnsi="微软雅黑" w:eastAsia="微软雅黑" w:cs="宋体"/>
          <w:sz w:val="27"/>
          <w:szCs w:val="21"/>
        </w:rPr>
        <w:t>因此，以社会主义收入分配的相关理论为基础，研究现阶段我国市场经济条件下城乡居民财产性收入的来源、差距及发展趋势是有很必要的。</w:t>
      </w:r>
      <w:bookmarkStart w:id="0" w:name="_GoBack"/>
      <w:bookmarkEnd w:id="0"/>
    </w:p>
    <w:p w14:paraId="518A5384">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（二）研究现状</w:t>
      </w:r>
    </w:p>
    <w:p w14:paraId="3BCFB3E7">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国内对居民收入差距的研究较多，相关文献很多，比较有代表性的主要有:</w:t>
      </w:r>
    </w:p>
    <w:p w14:paraId="43DC5050">
      <w:pPr>
        <w:spacing w:after="500" w:line="288" w:lineRule="auto"/>
        <w:ind w:firstLine="480" w:firstLineChars="200"/>
        <w:rPr>
          <w:rFonts w:hint="eastAsia" w:ascii="微软雅黑" w:hAnsi="微软雅黑" w:eastAsia="宋体" w:cs="宋体"/>
          <w:sz w:val="27"/>
          <w:szCs w:val="21"/>
          <w:lang w:eastAsia="zh-CN"/>
        </w:rPr>
      </w:pPr>
      <w:r>
        <w:rPr>
          <w:rFonts w:ascii="宋体" w:hAnsi="宋体" w:eastAsia="宋体" w:cs="宋体"/>
          <w:sz w:val="24"/>
          <w:szCs w:val="24"/>
        </w:rPr>
        <w:t>荷兰格罗宁根大学</w:t>
      </w:r>
      <w:r>
        <w:rPr>
          <w:rFonts w:hint="eastAsia" w:ascii="宋体" w:hAnsi="宋体" w:cs="宋体"/>
          <w:sz w:val="24"/>
          <w:szCs w:val="24"/>
          <w:lang w:eastAsia="zh-CN"/>
        </w:rPr>
        <w:t>的</w:t>
      </w:r>
      <w:r>
        <w:rPr>
          <w:rFonts w:ascii="宋体" w:hAnsi="宋体" w:eastAsia="宋体" w:cs="宋体"/>
          <w:sz w:val="24"/>
          <w:szCs w:val="24"/>
        </w:rPr>
        <w:t>Malcolm Campbell-Verduyn</w:t>
      </w:r>
      <w:r>
        <w:rPr>
          <w:rFonts w:hint="eastAsia" w:ascii="宋体" w:hAnsi="宋体" w:cs="宋体"/>
          <w:sz w:val="24"/>
          <w:szCs w:val="24"/>
          <w:lang w:eastAsia="zh-CN"/>
        </w:rPr>
        <w:t>教授从2017年开始并长期深入研究</w:t>
      </w:r>
      <w:r>
        <w:rPr>
          <w:rFonts w:ascii="宋体" w:hAnsi="宋体" w:eastAsia="宋体" w:cs="宋体"/>
          <w:sz w:val="24"/>
          <w:szCs w:val="24"/>
        </w:rPr>
        <w:t>全球反洗钱治理</w:t>
      </w:r>
      <w:r>
        <w:rPr>
          <w:rStyle w:val="9"/>
          <w:rFonts w:ascii="宋体" w:hAnsi="宋体" w:eastAsia="宋体" w:cs="宋体"/>
          <w:sz w:val="24"/>
          <w:szCs w:val="24"/>
        </w:rPr>
        <w:t>与</w:t>
      </w:r>
      <w:r>
        <w:rPr>
          <w:rFonts w:ascii="宋体" w:hAnsi="宋体" w:eastAsia="宋体" w:cs="宋体"/>
          <w:sz w:val="24"/>
          <w:szCs w:val="24"/>
        </w:rPr>
        <w:t>加密货币治理体系</w:t>
      </w:r>
      <w:r>
        <w:rPr>
          <w:rFonts w:hint="eastAsia" w:ascii="宋体" w:hAnsi="宋体" w:cs="宋体"/>
          <w:sz w:val="24"/>
          <w:szCs w:val="24"/>
          <w:lang w:eastAsia="zh-CN"/>
        </w:rPr>
        <w:t>，发表了很多（论文？），在</w:t>
      </w:r>
      <w:r>
        <w:rPr>
          <w:rFonts w:ascii="宋体" w:hAnsi="宋体" w:eastAsia="宋体" w:cs="宋体"/>
          <w:sz w:val="24"/>
          <w:szCs w:val="24"/>
        </w:rPr>
        <w:t>《</w:t>
      </w:r>
      <w:r>
        <w:rPr>
          <w:rStyle w:val="11"/>
          <w:rFonts w:ascii="宋体" w:hAnsi="宋体" w:eastAsia="宋体" w:cs="宋体"/>
          <w:sz w:val="24"/>
          <w:szCs w:val="24"/>
        </w:rPr>
        <w:t>Bitcoin, Crypto-coins, and Global Anti-Money Laundering Governance</w:t>
      </w:r>
      <w:r>
        <w:rPr>
          <w:rFonts w:ascii="宋体" w:hAnsi="宋体" w:eastAsia="宋体" w:cs="宋体"/>
          <w:sz w:val="24"/>
          <w:szCs w:val="24"/>
        </w:rPr>
        <w:t>》</w:t>
      </w:r>
      <w:r>
        <w:rPr>
          <w:rFonts w:hint="eastAsia" w:ascii="宋体" w:hAnsi="宋体" w:cs="宋体"/>
          <w:sz w:val="24"/>
          <w:szCs w:val="24"/>
          <w:lang w:eastAsia="zh-CN"/>
        </w:rPr>
        <w:t>中，作者研究了？，深入分析了？，并？，对？有影响，之后</w:t>
      </w:r>
      <w:r>
        <w:rPr>
          <w:rFonts w:ascii="宋体" w:hAnsi="宋体" w:eastAsia="宋体" w:cs="宋体"/>
          <w:sz w:val="24"/>
          <w:szCs w:val="24"/>
        </w:rPr>
        <w:t>又在 2021 年</w:t>
      </w:r>
      <w:r>
        <w:rPr>
          <w:rFonts w:hint="eastAsia" w:ascii="宋体" w:hAnsi="宋体" w:cs="宋体"/>
          <w:sz w:val="24"/>
          <w:szCs w:val="24"/>
          <w:lang w:eastAsia="zh-CN"/>
        </w:rPr>
        <w:t>《文章名？》</w:t>
      </w:r>
      <w:r>
        <w:rPr>
          <w:rFonts w:ascii="宋体" w:hAnsi="宋体" w:eastAsia="宋体" w:cs="宋体"/>
          <w:sz w:val="24"/>
          <w:szCs w:val="24"/>
        </w:rPr>
        <w:t>和 2023 年</w:t>
      </w:r>
      <w:r>
        <w:rPr>
          <w:rFonts w:hint="eastAsia" w:ascii="宋体" w:hAnsi="宋体" w:cs="宋体"/>
          <w:sz w:val="24"/>
          <w:szCs w:val="24"/>
          <w:lang w:eastAsia="zh-CN"/>
        </w:rPr>
        <w:t>《文章名？》</w:t>
      </w:r>
      <w:r>
        <w:rPr>
          <w:rFonts w:ascii="宋体" w:hAnsi="宋体" w:eastAsia="宋体" w:cs="宋体"/>
          <w:sz w:val="24"/>
          <w:szCs w:val="24"/>
        </w:rPr>
        <w:t>持续研究国际</w:t>
      </w:r>
      <w:r>
        <w:rPr>
          <w:rFonts w:hint="eastAsia" w:ascii="宋体" w:hAnsi="宋体" w:cs="宋体"/>
          <w:sz w:val="24"/>
          <w:szCs w:val="24"/>
          <w:lang w:eastAsia="zh-CN"/>
        </w:rPr>
        <w:t>反洗钱</w:t>
      </w:r>
      <w:r>
        <w:rPr>
          <w:rFonts w:ascii="宋体" w:hAnsi="宋体" w:eastAsia="宋体" w:cs="宋体"/>
          <w:sz w:val="24"/>
          <w:szCs w:val="24"/>
        </w:rPr>
        <w:t>制度的网络化治理模式</w:t>
      </w:r>
      <w:r>
        <w:rPr>
          <w:rFonts w:hint="eastAsia" w:ascii="宋体" w:hAnsi="宋体" w:cs="宋体"/>
          <w:sz w:val="24"/>
          <w:szCs w:val="24"/>
          <w:lang w:eastAsia="zh-CN"/>
        </w:rPr>
        <w:t>，其研究构成了一个以技术和制度共建为核心的持续型学术系列，其中的？</w:t>
      </w:r>
      <w:r>
        <w:rPr>
          <w:rFonts w:hint="eastAsia" w:ascii="微软雅黑" w:hAnsi="微软雅黑" w:eastAsia="微软雅黑" w:cs="宋体"/>
          <w:sz w:val="27"/>
          <w:szCs w:val="21"/>
        </w:rPr>
        <w:t>更是有很强的</w:t>
      </w:r>
      <w:r>
        <w:rPr>
          <w:rFonts w:hint="eastAsia" w:ascii="微软雅黑" w:hAnsi="微软雅黑" w:eastAsia="微软雅黑" w:cs="宋体"/>
          <w:sz w:val="27"/>
          <w:szCs w:val="21"/>
          <w:lang w:eastAsia="zh-CN"/>
        </w:rPr>
        <w:t>（理论、现实？）</w:t>
      </w:r>
      <w:r>
        <w:rPr>
          <w:rFonts w:hint="eastAsia" w:ascii="微软雅黑" w:hAnsi="微软雅黑" w:eastAsia="微软雅黑" w:cs="宋体"/>
          <w:sz w:val="27"/>
          <w:szCs w:val="21"/>
        </w:rPr>
        <w:t>意义。</w:t>
      </w:r>
    </w:p>
    <w:p w14:paraId="671C02B5">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南开大学经济学研究所的陈宗胜教授从20世纪80年代初就开始关注中国的收入差距问题，并进行了深入研究，发表了很多着作。在《论改革与发展中的收入分配》和《再论改革与发展中的收入分配》，两书中，作者研究了目前我国居民正常收入差别和非法非正常收入差别对居民收入差距的影响，深入分析了我国目前的城乡差别和地区差别，并在一定的假设条件下，对居民收入差距的未来趋势给出了自己的预测，提出了着名的“陈氏倒U曲线”，对中国国情下经济增长与收入差距的关系给出了有说服力的论断。在《改革、发展与收入分配》中，对中国总体居民收入分配差距进行研究后得出结论:</w:t>
      </w:r>
    </w:p>
    <w:p w14:paraId="5E353FA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中国在90年代初的收入差别程度“与同样发展水平的公有经济国家在收入概念可比范围内的收入分配差别大体一致”，对目前的收入差距持“两极未分化论”。作者还在理论和实证分析的基础上，提出了调整收入分配，缩小收入差距的政策建议，将我国收入分配的研究推向了一个新的高度，其中的许多结论和政策建议更是有很强的现实意义。</w:t>
      </w:r>
    </w:p>
    <w:p w14:paraId="1B4267F4">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赵人伟、李实等众多学者对我国目前的收入差距持“失当论”。他们有的从静态的横向比较角度把收入差距描述为“过高”;有的从动态的纵向比较角度把收入差距描述为“恶化”。赵人伟、李实在《中国居民收入分配再研究》中对收入差距进行了国际比较:中国的基尼系数已经达到了0.445，这低于非洲和南美的一些国家，但高于亚洲的一些国家，更高于欧洲发达国家的普遍水平。但是这种国际比较方法本身却受到了批评。魏众等人从纵向发展的角度认为:随着市场化的进程，收入分配状况将进一步恶化。</w:t>
      </w:r>
    </w:p>
    <w:p w14:paraId="33861096">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清华大学的李子奈教授通过基尼系数、人均纯收入等数据表明了1978年以来居民收入差距明显扩大，并实证地分析了这种现象的必然性，还设计了居民收入差距宏观调节的数量界限，提出了计算贫困线的方法，最后论证了坚持生产资料公有制为主体是缩小收入差距、实现共同富裕的根本保障。</w:t>
      </w:r>
    </w:p>
    <w:p w14:paraId="6065F856">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国内研究城乡居民财产性收入较少，主要有：</w:t>
      </w:r>
    </w:p>
    <w:p w14:paraId="1B5BB9E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李金凤、李晶龙（2008）在对我国居民财产性收入的现状分析的基础上，提出了财产性收入对中国贫富差距带来的影响，认为财产性收入的存量因素是财产性收入实现的基础，财产性收入的流量因素是财产性收入实现的方式。</w:t>
      </w:r>
    </w:p>
    <w:p w14:paraId="5B3CBA2C">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周青梅在《财产性收入、收入差距与政府公共政策选择》（2008）中认为短期内财产性收入的增加会拉大我国收入差距，但长期看，财产性收入有利于中等收入这的崛起从而缩小收入差距同时政府在政策选择上应保障低收入者的生活，并最终缩小收入差距。</w:t>
      </w:r>
    </w:p>
    <w:p w14:paraId="30BF8692">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巴曙松（2008）认为让更多群众拥有财产性收入，首先要让更多的人能够拥有财产，财产是财产行收入的前提。财产性收入的形成来自于财产，而财产的形成和积累一般来自与劳动收入的节余。因此，要提高财产性收入水平，就必须提高工资等劳动性收入的水平。</w:t>
      </w:r>
    </w:p>
    <w:p w14:paraId="4218F3D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丁俊峰（2008）从金融的视角出发，认为发挥金融功能是促进群众财产性收入提高的关进因素，因此,深化金融改革，健全金融理财市场，开拓农村金融市场，加强金融市场监管是保证居民财产性收入的必要条件。</w:t>
      </w:r>
    </w:p>
    <w:p w14:paraId="0BDC8654">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还有很多学者提到了《物权法》的实施保证了居民的财产有明确的产权，对保护群众的财产性收入提供了重要的法律保障。</w:t>
      </w:r>
    </w:p>
    <w:p w14:paraId="5D434535">
      <w:pPr>
        <w:numPr>
          <w:ilvl w:val="0"/>
          <w:numId w:val="1"/>
        </w:numPr>
        <w:spacing w:after="500" w:line="288" w:lineRule="auto"/>
        <w:ind w:left="0" w:firstLine="540" w:firstLineChars="200"/>
        <w:rPr>
          <w:rFonts w:ascii="微软雅黑" w:hAnsi="微软雅黑" w:eastAsia="微软雅黑"/>
          <w:sz w:val="27"/>
          <w:szCs w:val="30"/>
        </w:rPr>
      </w:pPr>
      <w:r>
        <w:rPr>
          <w:rFonts w:hint="eastAsia" w:ascii="微软雅黑" w:hAnsi="微软雅黑" w:eastAsia="微软雅黑" w:cs="宋体"/>
          <w:sz w:val="27"/>
          <w:szCs w:val="30"/>
        </w:rPr>
        <w:t>本文的主要内容、研究方法及创新点</w:t>
      </w:r>
    </w:p>
    <w:p w14:paraId="16DD65B8">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（一）主要内容</w:t>
      </w:r>
    </w:p>
    <w:p w14:paraId="4AB4A024">
      <w:pPr>
        <w:numPr>
          <w:ilvl w:val="1"/>
          <w:numId w:val="3"/>
        </w:numPr>
        <w:spacing w:after="500" w:line="288" w:lineRule="auto"/>
        <w:ind w:left="0" w:firstLine="540" w:firstLineChars="200"/>
        <w:rPr>
          <w:rFonts w:ascii="微软雅黑" w:hAnsi="微软雅黑" w:eastAsia="微软雅黑"/>
          <w:sz w:val="27"/>
          <w:szCs w:val="21"/>
        </w:rPr>
      </w:pPr>
      <w:r>
        <w:rPr>
          <w:rFonts w:hint="eastAsia" w:ascii="微软雅黑" w:hAnsi="微软雅黑" w:eastAsia="微软雅黑" w:cs="宋体"/>
          <w:sz w:val="27"/>
          <w:szCs w:val="21"/>
        </w:rPr>
        <w:t>引言</w:t>
      </w:r>
    </w:p>
    <w:p w14:paraId="29D876C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1.1研究背景和意义</w:t>
      </w:r>
    </w:p>
    <w:p w14:paraId="1CF3D68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1.2研究现状</w:t>
      </w:r>
    </w:p>
    <w:p w14:paraId="55E20A1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1.3研究思路、创新点</w:t>
      </w:r>
    </w:p>
    <w:p w14:paraId="0E517434">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1.3.1研究思路</w:t>
      </w:r>
    </w:p>
    <w:p w14:paraId="76E075A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 xml:space="preserve">1.3.2本文创新点 </w:t>
      </w:r>
    </w:p>
    <w:p w14:paraId="4BE98BB7">
      <w:pPr>
        <w:numPr>
          <w:ilvl w:val="1"/>
          <w:numId w:val="3"/>
        </w:numPr>
        <w:spacing w:after="500" w:line="288" w:lineRule="auto"/>
        <w:ind w:left="0" w:firstLine="540" w:firstLineChars="200"/>
        <w:rPr>
          <w:rFonts w:ascii="微软雅黑" w:hAnsi="微软雅黑" w:eastAsia="微软雅黑"/>
          <w:sz w:val="27"/>
          <w:szCs w:val="21"/>
        </w:rPr>
      </w:pPr>
      <w:r>
        <w:rPr>
          <w:rFonts w:hint="eastAsia" w:ascii="微软雅黑" w:hAnsi="微软雅黑" w:eastAsia="微软雅黑" w:cs="宋体"/>
          <w:sz w:val="27"/>
          <w:szCs w:val="21"/>
        </w:rPr>
        <w:t>收入分配的理论研究</w:t>
      </w:r>
    </w:p>
    <w:p w14:paraId="66D09C25">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2.1财产性收入概念界定</w:t>
      </w:r>
    </w:p>
    <w:p w14:paraId="263EE32B">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2.2 财产性收入基础理论</w:t>
      </w:r>
    </w:p>
    <w:p w14:paraId="2D087648">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2.2.1财产所有权理论</w:t>
      </w:r>
    </w:p>
    <w:p w14:paraId="52890BB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2.2.2社会主义收入分配理论</w:t>
      </w:r>
    </w:p>
    <w:p w14:paraId="28A874F2">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 xml:space="preserve">     2.4 其他相关理论</w:t>
      </w:r>
    </w:p>
    <w:p w14:paraId="3606CFCE">
      <w:pPr>
        <w:numPr>
          <w:ilvl w:val="1"/>
          <w:numId w:val="3"/>
        </w:numPr>
        <w:spacing w:after="500" w:line="288" w:lineRule="auto"/>
        <w:ind w:left="0" w:firstLine="540" w:firstLineChars="200"/>
        <w:rPr>
          <w:rFonts w:ascii="微软雅黑" w:hAnsi="微软雅黑" w:eastAsia="微软雅黑"/>
          <w:sz w:val="27"/>
          <w:szCs w:val="21"/>
        </w:rPr>
      </w:pPr>
      <w:r>
        <w:rPr>
          <w:rFonts w:hint="eastAsia" w:ascii="微软雅黑" w:hAnsi="微软雅黑" w:eastAsia="微软雅黑" w:cs="宋体"/>
          <w:sz w:val="27"/>
          <w:szCs w:val="21"/>
        </w:rPr>
        <w:t>河北省城乡居民财产性收入现状</w:t>
      </w:r>
    </w:p>
    <w:p w14:paraId="25573A7C">
      <w:pPr>
        <w:spacing w:after="500" w:line="288" w:lineRule="auto"/>
        <w:jc w:val="left"/>
        <w:outlineLvl w:val="1"/>
        <w:rPr>
          <w:rFonts w:ascii="微软雅黑" w:hAnsi="微软雅黑" w:eastAsia="微软雅黑"/>
          <w:b/>
          <w:sz w:val="27"/>
          <w:szCs w:val="21"/>
        </w:rPr>
      </w:pPr>
      <w:r>
        <w:rPr>
          <w:rFonts w:hint="eastAsia" w:ascii="微软雅黑" w:hAnsi="微软雅黑" w:eastAsia="微软雅黑" w:cs="宋体"/>
          <w:b/>
          <w:sz w:val="27"/>
          <w:szCs w:val="21"/>
        </w:rPr>
        <w:t>3.1 河北省城镇居民财产性收入现状</w:t>
      </w:r>
    </w:p>
    <w:p w14:paraId="25360383">
      <w:pPr>
        <w:spacing w:after="500" w:line="288" w:lineRule="auto"/>
        <w:jc w:val="left"/>
        <w:outlineLvl w:val="2"/>
        <w:rPr>
          <w:rFonts w:ascii="微软雅黑" w:hAnsi="微软雅黑" w:eastAsia="微软雅黑"/>
          <w:sz w:val="27"/>
          <w:szCs w:val="21"/>
        </w:rPr>
      </w:pPr>
      <w:r>
        <w:rPr>
          <w:rFonts w:hint="eastAsia" w:ascii="微软雅黑" w:hAnsi="微软雅黑" w:eastAsia="微软雅黑" w:cs="宋体"/>
          <w:sz w:val="27"/>
          <w:szCs w:val="21"/>
        </w:rPr>
        <w:t>3.1.1城镇居民财产性收入现状</w:t>
      </w:r>
    </w:p>
    <w:p w14:paraId="06BA0399">
      <w:pPr>
        <w:spacing w:after="500" w:line="288" w:lineRule="auto"/>
        <w:jc w:val="left"/>
        <w:outlineLvl w:val="2"/>
        <w:rPr>
          <w:rFonts w:ascii="微软雅黑" w:hAnsi="微软雅黑" w:eastAsia="微软雅黑"/>
          <w:sz w:val="27"/>
          <w:szCs w:val="21"/>
        </w:rPr>
      </w:pPr>
      <w:r>
        <w:rPr>
          <w:rFonts w:hint="eastAsia" w:ascii="微软雅黑" w:hAnsi="微软雅黑" w:eastAsia="微软雅黑" w:cs="宋体"/>
          <w:sz w:val="27"/>
          <w:szCs w:val="21"/>
        </w:rPr>
        <w:t>3.1.2城镇居民财产性收入来源、比例</w:t>
      </w:r>
    </w:p>
    <w:p w14:paraId="0F2D69A0">
      <w:pPr>
        <w:spacing w:after="500" w:line="288" w:lineRule="auto"/>
        <w:jc w:val="left"/>
        <w:outlineLvl w:val="2"/>
        <w:rPr>
          <w:rFonts w:ascii="微软雅黑" w:hAnsi="微软雅黑" w:eastAsia="微软雅黑"/>
          <w:sz w:val="27"/>
          <w:szCs w:val="21"/>
        </w:rPr>
      </w:pPr>
      <w:r>
        <w:rPr>
          <w:rFonts w:hint="eastAsia" w:ascii="微软雅黑" w:hAnsi="微软雅黑" w:eastAsia="微软雅黑" w:cs="宋体"/>
          <w:sz w:val="27"/>
          <w:szCs w:val="21"/>
        </w:rPr>
        <w:t>3.1.3影响城镇居民财产性收入的因素分析</w:t>
      </w:r>
    </w:p>
    <w:p w14:paraId="4F7A25E4">
      <w:pPr>
        <w:spacing w:after="500" w:line="288" w:lineRule="auto"/>
        <w:jc w:val="left"/>
        <w:outlineLvl w:val="1"/>
        <w:rPr>
          <w:rFonts w:ascii="微软雅黑" w:hAnsi="微软雅黑" w:eastAsia="微软雅黑"/>
          <w:b/>
          <w:sz w:val="27"/>
          <w:szCs w:val="21"/>
        </w:rPr>
      </w:pPr>
      <w:r>
        <w:rPr>
          <w:rFonts w:hint="eastAsia" w:ascii="微软雅黑" w:hAnsi="微软雅黑" w:eastAsia="微软雅黑" w:cs="宋体"/>
          <w:b/>
          <w:sz w:val="27"/>
          <w:szCs w:val="21"/>
        </w:rPr>
        <w:t>3.2 河北省农村居民财产性收入现状</w:t>
      </w:r>
    </w:p>
    <w:p w14:paraId="38F9F778">
      <w:pPr>
        <w:spacing w:after="500" w:line="288" w:lineRule="auto"/>
        <w:jc w:val="left"/>
        <w:outlineLvl w:val="2"/>
        <w:rPr>
          <w:rFonts w:ascii="微软雅黑" w:hAnsi="微软雅黑" w:eastAsia="微软雅黑"/>
          <w:sz w:val="27"/>
          <w:szCs w:val="21"/>
        </w:rPr>
      </w:pPr>
      <w:r>
        <w:rPr>
          <w:rFonts w:hint="eastAsia" w:ascii="微软雅黑" w:hAnsi="微软雅黑" w:eastAsia="微软雅黑" w:cs="宋体"/>
          <w:sz w:val="27"/>
          <w:szCs w:val="21"/>
        </w:rPr>
        <w:t>3.2.1农村居民财产性收入现状</w:t>
      </w:r>
    </w:p>
    <w:p w14:paraId="07FE4D95">
      <w:pPr>
        <w:spacing w:after="500" w:line="288" w:lineRule="auto"/>
        <w:jc w:val="left"/>
        <w:outlineLvl w:val="2"/>
        <w:rPr>
          <w:rFonts w:ascii="微软雅黑" w:hAnsi="微软雅黑" w:eastAsia="微软雅黑"/>
          <w:sz w:val="27"/>
          <w:szCs w:val="21"/>
        </w:rPr>
      </w:pPr>
      <w:r>
        <w:rPr>
          <w:rFonts w:hint="eastAsia" w:ascii="微软雅黑" w:hAnsi="微软雅黑" w:eastAsia="微软雅黑" w:cs="宋体"/>
          <w:sz w:val="27"/>
          <w:szCs w:val="21"/>
        </w:rPr>
        <w:t>3.2.2农村居民财产性收入来源、比例</w:t>
      </w:r>
    </w:p>
    <w:p w14:paraId="7D153814">
      <w:pPr>
        <w:spacing w:after="500" w:line="288" w:lineRule="auto"/>
        <w:jc w:val="left"/>
        <w:outlineLvl w:val="2"/>
        <w:rPr>
          <w:rFonts w:ascii="微软雅黑" w:hAnsi="微软雅黑" w:eastAsia="微软雅黑"/>
          <w:sz w:val="27"/>
          <w:szCs w:val="21"/>
        </w:rPr>
      </w:pPr>
      <w:r>
        <w:rPr>
          <w:rFonts w:hint="eastAsia" w:ascii="微软雅黑" w:hAnsi="微软雅黑" w:eastAsia="微软雅黑" w:cs="宋体"/>
          <w:sz w:val="27"/>
          <w:szCs w:val="21"/>
        </w:rPr>
        <w:t>3.2.3影响农村居民财产性收入的因素分析</w:t>
      </w:r>
    </w:p>
    <w:p w14:paraId="74321082">
      <w:pPr>
        <w:numPr>
          <w:ilvl w:val="1"/>
          <w:numId w:val="3"/>
        </w:numPr>
        <w:spacing w:after="500" w:line="288" w:lineRule="auto"/>
        <w:ind w:left="0" w:firstLine="540" w:firstLineChars="200"/>
        <w:rPr>
          <w:rFonts w:ascii="微软雅黑" w:hAnsi="微软雅黑" w:eastAsia="微软雅黑"/>
          <w:sz w:val="27"/>
          <w:szCs w:val="21"/>
        </w:rPr>
      </w:pPr>
      <w:r>
        <w:rPr>
          <w:rFonts w:hint="eastAsia" w:ascii="微软雅黑" w:hAnsi="微软雅黑" w:eastAsia="微软雅黑" w:cs="宋体"/>
          <w:sz w:val="27"/>
          <w:szCs w:val="21"/>
        </w:rPr>
        <w:t>河北省城乡居民财产性收入差距的原因分析</w:t>
      </w:r>
    </w:p>
    <w:p w14:paraId="178AD104">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4.1 我国城乡居民财产性收入差距现状</w:t>
      </w:r>
    </w:p>
    <w:p w14:paraId="3C21D142">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4.1.1城镇居民收入来源及存在的问题</w:t>
      </w:r>
    </w:p>
    <w:p w14:paraId="345EF16B">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4.1.2农村居民收入来源及存在的问题</w:t>
      </w:r>
    </w:p>
    <w:p w14:paraId="5C9AC076">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4.2 河北省城乡居民财产性收入差距成因分析</w:t>
      </w:r>
    </w:p>
    <w:p w14:paraId="5254BC37">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4.2.1河北省城镇居民财产性收入差距成因分析</w:t>
      </w:r>
    </w:p>
    <w:p w14:paraId="265B6E40">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 xml:space="preserve">4.2.2河北省农村居民财产性收入差距成因分析 </w:t>
      </w:r>
    </w:p>
    <w:p w14:paraId="6B492737">
      <w:pPr>
        <w:numPr>
          <w:ilvl w:val="1"/>
          <w:numId w:val="3"/>
        </w:numPr>
        <w:spacing w:after="500" w:line="288" w:lineRule="auto"/>
        <w:ind w:left="0" w:firstLine="540" w:firstLineChars="200"/>
        <w:rPr>
          <w:rFonts w:ascii="微软雅黑" w:hAnsi="微软雅黑" w:eastAsia="微软雅黑"/>
          <w:sz w:val="27"/>
          <w:szCs w:val="21"/>
        </w:rPr>
      </w:pPr>
      <w:r>
        <w:rPr>
          <w:rFonts w:hint="eastAsia" w:ascii="微软雅黑" w:hAnsi="微软雅黑" w:eastAsia="微软雅黑" w:cs="宋体"/>
          <w:sz w:val="27"/>
          <w:szCs w:val="21"/>
        </w:rPr>
        <w:t>河北省城乡居民财产性收入变化趋势预测分析</w:t>
      </w:r>
    </w:p>
    <w:p w14:paraId="03767882">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5.1城镇居民财产性收入差距变化趋势分析</w:t>
      </w:r>
    </w:p>
    <w:p w14:paraId="3236A84B">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5.2农村居民财产性收入差距变化趋势分析</w:t>
      </w:r>
    </w:p>
    <w:p w14:paraId="5E28AC5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5.3实证比较分析城乡居民财产性收入差距变化趋势分析</w:t>
      </w:r>
    </w:p>
    <w:p w14:paraId="574900DF">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5.4河北省居民财产性收入整体变化趋势</w:t>
      </w:r>
    </w:p>
    <w:p w14:paraId="3F58D92D">
      <w:pPr>
        <w:numPr>
          <w:ilvl w:val="1"/>
          <w:numId w:val="3"/>
        </w:numPr>
        <w:spacing w:after="500" w:line="288" w:lineRule="auto"/>
        <w:ind w:left="0" w:firstLine="540" w:firstLineChars="200"/>
        <w:rPr>
          <w:rFonts w:ascii="微软雅黑" w:hAnsi="微软雅黑" w:eastAsia="微软雅黑"/>
          <w:sz w:val="27"/>
          <w:szCs w:val="21"/>
        </w:rPr>
      </w:pPr>
      <w:r>
        <w:rPr>
          <w:rFonts w:hint="eastAsia" w:ascii="微软雅黑" w:hAnsi="微软雅黑" w:eastAsia="微软雅黑" w:cs="宋体"/>
          <w:sz w:val="27"/>
          <w:szCs w:val="21"/>
        </w:rPr>
        <w:t>主要结论和政策建议</w:t>
      </w:r>
    </w:p>
    <w:p w14:paraId="0114167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6.1 主要结论</w:t>
      </w:r>
    </w:p>
    <w:p w14:paraId="1457F8EC">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6.2 政策建议</w:t>
      </w:r>
    </w:p>
    <w:p w14:paraId="2FB9194B">
      <w:pPr>
        <w:spacing w:after="500" w:line="288" w:lineRule="auto"/>
        <w:ind w:firstLine="540" w:firstLineChars="200"/>
        <w:rPr>
          <w:rFonts w:ascii="微软雅黑" w:hAnsi="微软雅黑" w:eastAsia="微软雅黑"/>
          <w:sz w:val="27"/>
        </w:rPr>
      </w:pPr>
      <w:r>
        <w:rPr>
          <w:rFonts w:hint="eastAsia" w:ascii="微软雅黑" w:hAnsi="微软雅黑" w:eastAsia="微软雅黑" w:cs="宋体"/>
          <w:sz w:val="27"/>
          <w:szCs w:val="28"/>
        </w:rPr>
        <w:t>（二）研究方法</w:t>
      </w:r>
    </w:p>
    <w:p w14:paraId="273A75A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1、文献调查法：参考相关文献资料和理论着作，通过多种途径获取关于居民收入、财产性收入、收入差距的政策性和理论性资料。</w:t>
      </w:r>
    </w:p>
    <w:p w14:paraId="58C207D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2、比较分析法：通过对河北省不同地区、不同经济发展水平的居民的财产性收入情况进行比较，得出其异同找出原因。</w:t>
      </w:r>
    </w:p>
    <w:p w14:paraId="62A4674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3、问卷调查法：对城市居民、农村居民，区分不同收入水平、不同文化程度、不同职业进行问卷调查，了解居民财产性收入的获得情况。</w:t>
      </w:r>
    </w:p>
    <w:p w14:paraId="713B1DB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 xml:space="preserve">4、统计分析法：对调查结果进行整理，按一定规律输入计算机中建立数据库，用Excel对调查结果进行分类、排序，统计问卷中被选中项占同类调查对象人数的百分比，并制作相应的图表。 </w:t>
      </w:r>
    </w:p>
    <w:p w14:paraId="4F7B5628">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5、规范分析和实证分析相结合：对财产性收入的相关理论进行规范的学理分析，提供研究的理论基础。同时，重点运用实证分析方法，对河北省城乡居民的财产性收入状况、缩小收入差距和财产性收入的变化趋势的实例进行研究。在实证分析的基础上，通过比较、归纳和概括，运用了规范分析的方法，提炼出提高低收入者的收入，改善民生的新途径。</w:t>
      </w:r>
    </w:p>
    <w:p w14:paraId="5B08DCCA">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（三）创新点</w:t>
      </w:r>
    </w:p>
    <w:p w14:paraId="3632A7D1">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1、通过问卷调查和到相关部门搜集第一手的数据资料得到北省城乡居民财产性收入的现状，通过对河北省城乡居民财产性收入的现状分析，得出河北省居民财产性收入中存在的问题，并找到其深层次的原因；</w:t>
      </w:r>
    </w:p>
    <w:p w14:paraId="0170F7B8">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2、通过对比河北省城镇居民和农村居民的财产性收入差距，实证分析财产性收入差距对居民收入差距的影响度，得出财产性收入的发展趋势，找出财产性收入对居民收入的有利影响和不利影响。</w:t>
      </w:r>
    </w:p>
    <w:p w14:paraId="386EF351">
      <w:pPr>
        <w:spacing w:after="500" w:line="288" w:lineRule="auto"/>
        <w:jc w:val="left"/>
        <w:outlineLvl w:val="0"/>
        <w:rPr>
          <w:rFonts w:ascii="微软雅黑" w:hAnsi="微软雅黑" w:eastAsia="微软雅黑"/>
          <w:b/>
          <w:sz w:val="30"/>
          <w:szCs w:val="30"/>
        </w:rPr>
      </w:pPr>
      <w:r>
        <w:rPr>
          <w:rFonts w:hint="eastAsia" w:ascii="微软雅黑" w:hAnsi="微软雅黑" w:eastAsia="微软雅黑" w:cs="宋体"/>
          <w:b/>
          <w:sz w:val="30"/>
          <w:szCs w:val="30"/>
        </w:rPr>
        <w:t>四、进度安排</w:t>
      </w:r>
    </w:p>
    <w:p w14:paraId="0DFDAB2A">
      <w:pPr>
        <w:spacing w:after="500" w:line="288" w:lineRule="auto"/>
        <w:ind w:firstLine="540" w:firstLineChars="200"/>
        <w:rPr>
          <w:rFonts w:ascii="微软雅黑" w:hAnsi="微软雅黑" w:eastAsia="微软雅黑"/>
          <w:sz w:val="27"/>
          <w:szCs w:val="21"/>
        </w:rPr>
      </w:pP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4</w:t>
      </w: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6   理论研究阶段</w:t>
      </w:r>
      <w:r>
        <w:rPr>
          <w:rFonts w:ascii="微软雅黑" w:hAnsi="微软雅黑" w:eastAsia="微软雅黑" w:cs="宋体"/>
          <w:sz w:val="27"/>
          <w:szCs w:val="21"/>
        </w:rPr>
        <w:t xml:space="preserve">  </w:t>
      </w:r>
      <w:r>
        <w:rPr>
          <w:rFonts w:hint="eastAsia" w:ascii="微软雅黑" w:hAnsi="微软雅黑" w:eastAsia="微软雅黑" w:cs="宋体"/>
          <w:sz w:val="27"/>
          <w:szCs w:val="21"/>
        </w:rPr>
        <w:t>财产性收入的理论研究</w:t>
      </w:r>
    </w:p>
    <w:p w14:paraId="530678A7">
      <w:pPr>
        <w:spacing w:after="500" w:line="288" w:lineRule="auto"/>
        <w:ind w:firstLine="540" w:firstLineChars="200"/>
        <w:rPr>
          <w:rFonts w:ascii="微软雅黑" w:hAnsi="微软雅黑" w:eastAsia="微软雅黑"/>
          <w:sz w:val="27"/>
          <w:szCs w:val="21"/>
        </w:rPr>
      </w:pP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6</w:t>
      </w: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8   实际调研阶段  河北省城乡居民财产性收入总体及各地区情况调研</w:t>
      </w:r>
    </w:p>
    <w:p w14:paraId="191D09D8">
      <w:pPr>
        <w:spacing w:after="500" w:line="288" w:lineRule="auto"/>
        <w:ind w:firstLine="540" w:firstLineChars="200"/>
        <w:rPr>
          <w:rFonts w:ascii="微软雅黑" w:hAnsi="微软雅黑" w:eastAsia="微软雅黑"/>
          <w:sz w:val="27"/>
          <w:szCs w:val="21"/>
        </w:rPr>
      </w:pP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8</w:t>
      </w:r>
      <w:r>
        <w:rPr>
          <w:rFonts w:ascii="微软雅黑" w:hAnsi="微软雅黑" w:eastAsia="微软雅黑" w:cs="宋体"/>
          <w:sz w:val="27"/>
          <w:szCs w:val="21"/>
        </w:rPr>
        <w:t>-20</w:t>
      </w:r>
      <w:r>
        <w:rPr>
          <w:rFonts w:hint="eastAsia" w:ascii="微软雅黑" w:hAnsi="微软雅黑" w:eastAsia="微软雅黑" w:cs="宋体"/>
          <w:sz w:val="27"/>
          <w:szCs w:val="21"/>
        </w:rPr>
        <w:t>08</w:t>
      </w:r>
      <w:r>
        <w:rPr>
          <w:rFonts w:ascii="微软雅黑" w:hAnsi="微软雅黑" w:eastAsia="微软雅黑" w:cs="宋体"/>
          <w:sz w:val="27"/>
          <w:szCs w:val="21"/>
        </w:rPr>
        <w:t>.</w:t>
      </w:r>
      <w:r>
        <w:rPr>
          <w:rFonts w:hint="eastAsia" w:ascii="微软雅黑" w:hAnsi="微软雅黑" w:eastAsia="微软雅黑" w:cs="宋体"/>
          <w:sz w:val="27"/>
          <w:szCs w:val="21"/>
        </w:rPr>
        <w:t>9   资料分析阶段  根据调研所掌握的资料进行分类汇总</w:t>
      </w:r>
    </w:p>
    <w:p w14:paraId="2CDF8A2A">
      <w:pPr>
        <w:spacing w:after="500" w:line="288" w:lineRule="auto"/>
        <w:ind w:firstLine="540" w:firstLineChars="200"/>
        <w:rPr>
          <w:rFonts w:ascii="微软雅黑" w:hAnsi="微软雅黑" w:eastAsia="微软雅黑"/>
          <w:sz w:val="27"/>
          <w:szCs w:val="21"/>
        </w:rPr>
      </w:pP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10</w:t>
      </w:r>
      <w:r>
        <w:rPr>
          <w:rFonts w:ascii="微软雅黑" w:hAnsi="微软雅黑" w:eastAsia="微软雅黑" w:cs="宋体"/>
          <w:sz w:val="27"/>
          <w:szCs w:val="21"/>
        </w:rPr>
        <w:t>-200</w:t>
      </w:r>
      <w:r>
        <w:rPr>
          <w:rFonts w:hint="eastAsia" w:ascii="微软雅黑" w:hAnsi="微软雅黑" w:eastAsia="微软雅黑" w:cs="宋体"/>
          <w:sz w:val="27"/>
          <w:szCs w:val="21"/>
        </w:rPr>
        <w:t>8</w:t>
      </w:r>
      <w:r>
        <w:rPr>
          <w:rFonts w:ascii="微软雅黑" w:hAnsi="微软雅黑" w:eastAsia="微软雅黑" w:cs="宋体"/>
          <w:sz w:val="27"/>
          <w:szCs w:val="21"/>
        </w:rPr>
        <w:t>.</w:t>
      </w:r>
      <w:r>
        <w:rPr>
          <w:rFonts w:hint="eastAsia" w:ascii="微软雅黑" w:hAnsi="微软雅黑" w:eastAsia="微软雅黑" w:cs="宋体"/>
          <w:sz w:val="27"/>
          <w:szCs w:val="21"/>
        </w:rPr>
        <w:t>12 论文撰写阶段  在理论分析和实际调研的基础上,初步撰写论文</w:t>
      </w:r>
    </w:p>
    <w:p w14:paraId="289D096D">
      <w:pPr>
        <w:spacing w:after="500" w:line="288" w:lineRule="auto"/>
        <w:ind w:firstLine="540" w:firstLineChars="200"/>
        <w:rPr>
          <w:rFonts w:ascii="微软雅黑" w:hAnsi="微软雅黑" w:eastAsia="微软雅黑"/>
          <w:sz w:val="27"/>
          <w:szCs w:val="21"/>
        </w:rPr>
      </w:pPr>
      <w:r>
        <w:rPr>
          <w:rFonts w:ascii="微软雅黑" w:hAnsi="微软雅黑" w:eastAsia="微软雅黑" w:cs="宋体"/>
          <w:sz w:val="27"/>
          <w:szCs w:val="21"/>
        </w:rPr>
        <w:t>200</w:t>
      </w:r>
      <w:r>
        <w:rPr>
          <w:rFonts w:hint="eastAsia" w:ascii="微软雅黑" w:hAnsi="微软雅黑" w:eastAsia="微软雅黑" w:cs="宋体"/>
          <w:sz w:val="27"/>
          <w:szCs w:val="21"/>
        </w:rPr>
        <w:t>9</w:t>
      </w:r>
      <w:r>
        <w:rPr>
          <w:rFonts w:ascii="微软雅黑" w:hAnsi="微软雅黑" w:eastAsia="微软雅黑" w:cs="宋体"/>
          <w:sz w:val="27"/>
          <w:szCs w:val="21"/>
        </w:rPr>
        <w:t>.</w:t>
      </w:r>
      <w:r>
        <w:rPr>
          <w:rFonts w:hint="eastAsia" w:ascii="微软雅黑" w:hAnsi="微软雅黑" w:eastAsia="微软雅黑" w:cs="宋体"/>
          <w:sz w:val="27"/>
          <w:szCs w:val="21"/>
        </w:rPr>
        <w:t>1</w:t>
      </w:r>
      <w:r>
        <w:rPr>
          <w:rFonts w:ascii="微软雅黑" w:hAnsi="微软雅黑" w:eastAsia="微软雅黑" w:cs="宋体"/>
          <w:sz w:val="27"/>
          <w:szCs w:val="21"/>
        </w:rPr>
        <w:t>-200</w:t>
      </w:r>
      <w:r>
        <w:rPr>
          <w:rFonts w:hint="eastAsia" w:ascii="微软雅黑" w:hAnsi="微软雅黑" w:eastAsia="微软雅黑" w:cs="宋体"/>
          <w:sz w:val="27"/>
          <w:szCs w:val="21"/>
        </w:rPr>
        <w:t>9</w:t>
      </w:r>
      <w:r>
        <w:rPr>
          <w:rFonts w:ascii="微软雅黑" w:hAnsi="微软雅黑" w:eastAsia="微软雅黑" w:cs="宋体"/>
          <w:sz w:val="27"/>
          <w:szCs w:val="21"/>
        </w:rPr>
        <w:t>.</w:t>
      </w:r>
      <w:r>
        <w:rPr>
          <w:rFonts w:hint="eastAsia" w:ascii="微软雅黑" w:hAnsi="微软雅黑" w:eastAsia="微软雅黑" w:cs="宋体"/>
          <w:sz w:val="27"/>
          <w:szCs w:val="21"/>
        </w:rPr>
        <w:t>3   论文定稿阶段  对论文进行修改、定稿</w:t>
      </w:r>
    </w:p>
    <w:p w14:paraId="5E1BBA4F">
      <w:pPr>
        <w:spacing w:after="500" w:line="288" w:lineRule="auto"/>
        <w:ind w:firstLine="540" w:firstLineChars="200"/>
        <w:rPr>
          <w:rFonts w:ascii="微软雅黑" w:hAnsi="微软雅黑" w:eastAsia="微软雅黑"/>
          <w:color w:val="FF0000"/>
          <w:sz w:val="27"/>
          <w:szCs w:val="21"/>
        </w:rPr>
      </w:pPr>
      <w:r>
        <w:rPr>
          <w:rFonts w:hint="eastAsia" w:ascii="微软雅黑" w:hAnsi="微软雅黑" w:eastAsia="微软雅黑" w:cs="宋体"/>
          <w:sz w:val="27"/>
          <w:szCs w:val="21"/>
        </w:rPr>
        <w:t>2009</w:t>
      </w:r>
      <w:r>
        <w:rPr>
          <w:rFonts w:ascii="微软雅黑" w:hAnsi="微软雅黑" w:eastAsia="微软雅黑" w:cs="宋体"/>
          <w:sz w:val="27"/>
          <w:szCs w:val="21"/>
        </w:rPr>
        <w:t>.</w:t>
      </w:r>
      <w:r>
        <w:rPr>
          <w:rFonts w:hint="eastAsia" w:ascii="微软雅黑" w:hAnsi="微软雅黑" w:eastAsia="微软雅黑" w:cs="宋体"/>
          <w:sz w:val="27"/>
          <w:szCs w:val="21"/>
        </w:rPr>
        <w:t>4          论文审查阶段  将论文提交送审</w:t>
      </w:r>
    </w:p>
    <w:p w14:paraId="1EDF1B8C">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2009</w:t>
      </w:r>
      <w:r>
        <w:rPr>
          <w:rFonts w:ascii="微软雅黑" w:hAnsi="微软雅黑" w:eastAsia="微软雅黑" w:cs="宋体"/>
          <w:sz w:val="27"/>
          <w:szCs w:val="21"/>
        </w:rPr>
        <w:t>.</w:t>
      </w:r>
      <w:r>
        <w:rPr>
          <w:rFonts w:hint="eastAsia" w:ascii="微软雅黑" w:hAnsi="微软雅黑" w:eastAsia="微软雅黑" w:cs="宋体"/>
          <w:sz w:val="27"/>
          <w:szCs w:val="21"/>
        </w:rPr>
        <w:t>5</w:t>
      </w:r>
      <w:r>
        <w:rPr>
          <w:rFonts w:ascii="微软雅黑" w:hAnsi="微软雅黑" w:eastAsia="微软雅黑" w:cs="宋体"/>
          <w:sz w:val="27"/>
          <w:szCs w:val="21"/>
        </w:rPr>
        <w:t xml:space="preserve">         </w:t>
      </w:r>
      <w:r>
        <w:rPr>
          <w:rFonts w:hint="eastAsia" w:ascii="微软雅黑" w:hAnsi="微软雅黑" w:eastAsia="微软雅黑" w:cs="宋体"/>
          <w:sz w:val="27"/>
          <w:szCs w:val="21"/>
        </w:rPr>
        <w:t xml:space="preserve"> 论文答辩</w:t>
      </w:r>
    </w:p>
    <w:p w14:paraId="3CF07184">
      <w:pPr>
        <w:spacing w:after="500" w:line="288" w:lineRule="auto"/>
        <w:jc w:val="left"/>
        <w:outlineLvl w:val="0"/>
        <w:rPr>
          <w:rFonts w:ascii="微软雅黑" w:hAnsi="微软雅黑" w:eastAsia="微软雅黑"/>
          <w:b/>
          <w:sz w:val="30"/>
          <w:szCs w:val="30"/>
        </w:rPr>
      </w:pPr>
      <w:r>
        <w:rPr>
          <w:rFonts w:hint="eastAsia" w:ascii="微软雅黑" w:hAnsi="微软雅黑" w:eastAsia="微软雅黑" w:cs="宋体"/>
          <w:b/>
          <w:sz w:val="30"/>
          <w:szCs w:val="30"/>
        </w:rPr>
        <w:t>五、研究难点及对策</w:t>
      </w:r>
    </w:p>
    <w:p w14:paraId="419F47A7">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（一）研究难点</w:t>
      </w:r>
    </w:p>
    <w:p w14:paraId="23F0DDC6">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1、不同收入水平的城乡居民的财产性收入数据的获得；</w:t>
      </w:r>
    </w:p>
    <w:p w14:paraId="1D68CF1C">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2、对城乡居民财产性收入发展趋势分析方法的选择；</w:t>
      </w:r>
    </w:p>
    <w:p w14:paraId="5FD0902C">
      <w:pPr>
        <w:spacing w:after="500" w:line="288" w:lineRule="auto"/>
        <w:ind w:firstLine="540" w:firstLineChars="200"/>
        <w:rPr>
          <w:rFonts w:ascii="微软雅黑" w:hAnsi="微软雅黑" w:eastAsia="微软雅黑"/>
          <w:sz w:val="27"/>
          <w:szCs w:val="28"/>
        </w:rPr>
      </w:pPr>
      <w:r>
        <w:rPr>
          <w:rFonts w:hint="eastAsia" w:ascii="微软雅黑" w:hAnsi="微软雅黑" w:eastAsia="微软雅黑" w:cs="宋体"/>
          <w:sz w:val="27"/>
          <w:szCs w:val="28"/>
        </w:rPr>
        <w:t>（二）解决方法</w:t>
      </w:r>
    </w:p>
    <w:p w14:paraId="3C9048A8">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1、通过查阅中国统计年鉴和河北统计年鉴及相关数据资料，以及通过事迹调研及问卷调查获得相关数据。</w:t>
      </w:r>
    </w:p>
    <w:p w14:paraId="00959802">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2、阅读大量与本文研究相关的着作论文和统计预测方法，选择合适的预测分析方法。</w:t>
      </w:r>
    </w:p>
    <w:p w14:paraId="02E93C22">
      <w:pPr>
        <w:spacing w:after="500" w:line="288" w:lineRule="auto"/>
        <w:ind w:firstLine="540" w:firstLineChars="200"/>
        <w:rPr>
          <w:rFonts w:ascii="微软雅黑" w:hAnsi="微软雅黑" w:eastAsia="微软雅黑"/>
          <w:sz w:val="27"/>
        </w:rPr>
      </w:pPr>
      <w:r>
        <w:rPr>
          <w:rFonts w:hint="eastAsia" w:ascii="微软雅黑" w:hAnsi="微软雅黑" w:eastAsia="微软雅黑" w:cs="宋体"/>
          <w:sz w:val="27"/>
          <w:szCs w:val="30"/>
        </w:rPr>
        <w:t>参考文献</w:t>
      </w:r>
      <w:r>
        <w:rPr>
          <w:rFonts w:hint="eastAsia" w:ascii="微软雅黑" w:hAnsi="微软雅黑" w:eastAsia="微软雅黑" w:cs="宋体"/>
          <w:sz w:val="27"/>
        </w:rPr>
        <w:t>：</w:t>
      </w:r>
    </w:p>
    <w:p w14:paraId="79AE7391">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[1]马克思.资本论[M].经济科学出版社,1987.</w:t>
      </w:r>
    </w:p>
    <w:p w14:paraId="5B8258F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[2]李子奈.计量经济学[M].高等教育出版社，2002.</w:t>
      </w:r>
    </w:p>
    <w:p w14:paraId="03A7B44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[3]陈宗胜.经济发展中的收入分配[M].上海三联书店，1999</w:t>
      </w:r>
    </w:p>
    <w:p w14:paraId="72F60CE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[4]赵人伟等.中国居民收入分配再研究[M].中国财政经济出版社，1990.</w:t>
      </w:r>
    </w:p>
    <w:p w14:paraId="366B493C">
      <w:pPr>
        <w:spacing w:after="500" w:line="288" w:lineRule="auto"/>
        <w:ind w:firstLine="540" w:firstLineChars="200"/>
        <w:rPr>
          <w:rFonts w:ascii="微软雅黑" w:hAnsi="微软雅黑" w:eastAsia="微软雅黑" w:cs="Arial"/>
          <w:sz w:val="27"/>
          <w:szCs w:val="21"/>
        </w:rPr>
      </w:pPr>
      <w:r>
        <w:rPr>
          <w:rFonts w:ascii="微软雅黑" w:hAnsi="微软雅黑" w:eastAsia="微软雅黑" w:cs="宋体"/>
          <w:sz w:val="27"/>
          <w:szCs w:val="21"/>
        </w:rPr>
        <w:t>[</w:t>
      </w:r>
      <w:r>
        <w:rPr>
          <w:rFonts w:hint="eastAsia" w:ascii="微软雅黑" w:hAnsi="微软雅黑" w:eastAsia="微软雅黑" w:cs="宋体"/>
          <w:sz w:val="27"/>
          <w:szCs w:val="21"/>
        </w:rPr>
        <w:t>5</w:t>
      </w:r>
      <w:r>
        <w:rPr>
          <w:rFonts w:ascii="微软雅黑" w:hAnsi="微软雅黑" w:eastAsia="微软雅黑" w:cs="宋体"/>
          <w:sz w:val="27"/>
          <w:szCs w:val="21"/>
        </w:rPr>
        <w:t>]周荔</w:t>
      </w:r>
      <w:r>
        <w:rPr>
          <w:rFonts w:hint="eastAsia" w:ascii="微软雅黑" w:hAnsi="微软雅黑" w:eastAsia="微软雅黑" w:cs="宋体"/>
          <w:sz w:val="27"/>
          <w:szCs w:val="21"/>
        </w:rPr>
        <w:t>，</w:t>
      </w:r>
      <w:r>
        <w:rPr>
          <w:rFonts w:ascii="微软雅黑" w:hAnsi="微软雅黑" w:eastAsia="微软雅黑" w:cs="宋体"/>
          <w:sz w:val="27"/>
          <w:szCs w:val="21"/>
        </w:rPr>
        <w:t>曾为群</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我国居民财产性收入:存在问题及增加策略</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南华大学学报(社会科学版)</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2008,1.</w:t>
      </w:r>
    </w:p>
    <w:p w14:paraId="549408F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[6]王培刚，周长城.当前中国居民收入差距扩大的实证分析与动态研究一基于多元线性回归模型的阐释[J].管理世界，2005，11.</w:t>
      </w:r>
    </w:p>
    <w:p w14:paraId="5039933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[7]陈宗胜.中国居民收入分配差别的深入研究—评《中国居民收入分配再研究》[J].经济研究，2000,7.</w:t>
      </w:r>
    </w:p>
    <w:p w14:paraId="49A51B58">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[8]林宏，陈广汉.居民收入差距测量的方法和指标[J].统计与预测，2003,6.</w:t>
      </w:r>
    </w:p>
    <w:p w14:paraId="64BE5C40">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[9]</w:t>
      </w:r>
      <w:r>
        <w:rPr>
          <w:rFonts w:ascii="微软雅黑" w:hAnsi="微软雅黑" w:eastAsia="微软雅黑" w:cs="宋体"/>
          <w:sz w:val="27"/>
          <w:szCs w:val="21"/>
        </w:rPr>
        <w:t>袁文平</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“让更多群众拥有财产性收入”的意义重大</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财经科学</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2007,11.</w:t>
      </w:r>
    </w:p>
    <w:p w14:paraId="0788983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[10]</w:t>
      </w:r>
      <w:r>
        <w:rPr>
          <w:rFonts w:ascii="微软雅黑" w:hAnsi="微软雅黑" w:eastAsia="微软雅黑" w:cs="宋体"/>
          <w:sz w:val="27"/>
          <w:szCs w:val="21"/>
        </w:rPr>
        <w:t>吴彦艳</w:t>
      </w:r>
      <w:r>
        <w:rPr>
          <w:rFonts w:hint="eastAsia" w:ascii="微软雅黑" w:hAnsi="微软雅黑" w:eastAsia="微软雅黑" w:cs="宋体"/>
          <w:sz w:val="27"/>
          <w:szCs w:val="21"/>
        </w:rPr>
        <w:t>,</w:t>
      </w:r>
      <w:r>
        <w:rPr>
          <w:rFonts w:ascii="微软雅黑" w:hAnsi="微软雅黑" w:eastAsia="微软雅黑" w:cs="宋体"/>
          <w:sz w:val="27"/>
          <w:szCs w:val="21"/>
        </w:rPr>
        <w:t>丁志卿</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居民财产性收入的几个问题研究</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经济纵横</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2007,21.</w:t>
      </w:r>
    </w:p>
    <w:p w14:paraId="06A5B76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[11]宋大力.黑龙江省城乡居民收入差距研究.博士论文.黑龙江大学，2006</w:t>
      </w:r>
    </w:p>
    <w:p w14:paraId="271B8F4C">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[12]</w:t>
      </w:r>
      <w:r>
        <w:rPr>
          <w:rFonts w:ascii="微软雅黑" w:hAnsi="微软雅黑" w:eastAsia="微软雅黑" w:cs="宋体"/>
          <w:sz w:val="27"/>
          <w:szCs w:val="21"/>
        </w:rPr>
        <w:t>李金凤</w:t>
      </w:r>
      <w:r>
        <w:rPr>
          <w:rFonts w:hint="eastAsia" w:ascii="微软雅黑" w:hAnsi="微软雅黑" w:eastAsia="微软雅黑" w:cs="宋体"/>
          <w:sz w:val="27"/>
          <w:szCs w:val="21"/>
        </w:rPr>
        <w:t>,</w:t>
      </w:r>
      <w:r>
        <w:rPr>
          <w:rFonts w:ascii="微软雅黑" w:hAnsi="微软雅黑" w:eastAsia="微软雅黑" w:cs="宋体"/>
          <w:sz w:val="27"/>
          <w:szCs w:val="21"/>
        </w:rPr>
        <w:t>李晶龙</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财产性收入对中国贫富差距的影响</w:t>
      </w:r>
      <w:r>
        <w:rPr>
          <w:rStyle w:val="13"/>
          <w:rFonts w:hint="eastAsia" w:ascii="微软雅黑" w:hAnsi="微软雅黑" w:eastAsia="微软雅黑" w:cs="宋体"/>
          <w:b w:val="0"/>
          <w:color w:val="auto"/>
          <w:sz w:val="27"/>
        </w:rPr>
        <w:t>[J].</w:t>
      </w:r>
      <w:r>
        <w:fldChar w:fldCharType="begin"/>
      </w:r>
      <w:r>
        <w:instrText xml:space="preserve"> HYPERLINK </w:instrText>
      </w:r>
      <w:r>
        <w:fldChar w:fldCharType="separate"/>
      </w:r>
      <w:r>
        <w:rPr>
          <w:rStyle w:val="12"/>
          <w:rFonts w:ascii="微软雅黑" w:hAnsi="微软雅黑" w:eastAsia="微软雅黑" w:cs="宋体"/>
          <w:color w:val="auto"/>
          <w:sz w:val="27"/>
          <w:szCs w:val="21"/>
        </w:rPr>
        <w:t>天津经济</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 xml:space="preserve">, </w:t>
      </w:r>
      <w:r>
        <w:rPr>
          <w:rFonts w:hint="eastAsia" w:ascii="微软雅黑" w:hAnsi="微软雅黑" w:eastAsia="微软雅黑" w:cs="宋体"/>
          <w:sz w:val="27"/>
          <w:szCs w:val="21"/>
        </w:rPr>
        <w:t>2008,1.</w:t>
      </w:r>
    </w:p>
    <w:p w14:paraId="6D153E1B">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[13]</w:t>
      </w:r>
      <w:r>
        <w:rPr>
          <w:rFonts w:ascii="微软雅黑" w:hAnsi="微软雅黑" w:eastAsia="微软雅黑" w:cs="宋体"/>
          <w:sz w:val="27"/>
          <w:szCs w:val="21"/>
        </w:rPr>
        <w:t>彭</w:t>
      </w:r>
      <w:r>
        <w:rPr>
          <w:rFonts w:hint="eastAsia" w:ascii="微软雅黑" w:hAnsi="微软雅黑" w:eastAsia="微软雅黑" w:cs="宋体"/>
          <w:sz w:val="27"/>
          <w:szCs w:val="21"/>
        </w:rPr>
        <w:t>喆.</w:t>
      </w:r>
      <w:r>
        <w:rPr>
          <w:rStyle w:val="13"/>
          <w:rFonts w:ascii="微软雅黑" w:hAnsi="微软雅黑" w:eastAsia="微软雅黑" w:cs="宋体"/>
          <w:b w:val="0"/>
          <w:color w:val="auto"/>
          <w:sz w:val="27"/>
        </w:rPr>
        <w:t>四川城镇居民财产性收入将大幅增长</w:t>
      </w:r>
      <w:r>
        <w:rPr>
          <w:rStyle w:val="13"/>
          <w:rFonts w:hint="eastAsia" w:ascii="微软雅黑" w:hAnsi="微软雅黑" w:eastAsia="微软雅黑" w:cs="宋体"/>
          <w:b w:val="0"/>
          <w:color w:val="auto"/>
          <w:sz w:val="27"/>
        </w:rPr>
        <w:t>[J].</w:t>
      </w:r>
      <w:r>
        <w:fldChar w:fldCharType="begin"/>
      </w:r>
      <w:r>
        <w:instrText xml:space="preserve"> HYPERLINK </w:instrText>
      </w:r>
      <w:r>
        <w:fldChar w:fldCharType="separate"/>
      </w:r>
      <w:r>
        <w:rPr>
          <w:rStyle w:val="12"/>
          <w:rFonts w:ascii="微软雅黑" w:hAnsi="微软雅黑" w:eastAsia="微软雅黑" w:cs="宋体"/>
          <w:color w:val="auto"/>
          <w:sz w:val="27"/>
          <w:szCs w:val="21"/>
        </w:rPr>
        <w:t>四川省情</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2007,12.</w:t>
      </w:r>
    </w:p>
    <w:p w14:paraId="67D30038">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[14]</w:t>
      </w:r>
      <w:r>
        <w:rPr>
          <w:rFonts w:ascii="微软雅黑" w:hAnsi="微软雅黑" w:eastAsia="微软雅黑" w:cs="宋体"/>
          <w:sz w:val="27"/>
          <w:szCs w:val="21"/>
        </w:rPr>
        <w:t>李明章</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创造条件让更多群众拥有财产性收入——社会主义公有制实现形式的实质</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中央社会主义学院学报</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2007,6.</w:t>
      </w:r>
    </w:p>
    <w:p w14:paraId="4CAE2D4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[15]李实，岳希明.中国城乡收入差距[J].财经，2004年第3、4期合刊.</w:t>
      </w:r>
    </w:p>
    <w:p w14:paraId="5BC72FD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[16]张辉.陕西城乡居民收入差距的变化及缩小差距的对策[J].理论导刊，1997,5.</w:t>
      </w:r>
    </w:p>
    <w:p w14:paraId="5906CC4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[17]常江，郭立宏.陕西省城乡收入差距的实证分析[J].延安大学学报,2005,4.</w:t>
      </w:r>
    </w:p>
    <w:p w14:paraId="03B0C27F">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[18]杨文选.城乡居民收入分配差距形成原因及对策分析[J].商场现代化，2005，12.</w:t>
      </w:r>
    </w:p>
    <w:p w14:paraId="4570CB50">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[19]</w:t>
      </w:r>
      <w:r>
        <w:rPr>
          <w:rFonts w:ascii="微软雅黑" w:hAnsi="微软雅黑" w:eastAsia="微软雅黑" w:cs="宋体"/>
          <w:sz w:val="27"/>
          <w:szCs w:val="21"/>
        </w:rPr>
        <w:t>周青梅</w:t>
      </w:r>
      <w:r>
        <w:rPr>
          <w:rFonts w:hint="eastAsia" w:ascii="微软雅黑" w:hAnsi="微软雅黑" w:eastAsia="微软雅黑" w:cs="宋体"/>
          <w:sz w:val="27"/>
          <w:szCs w:val="21"/>
        </w:rPr>
        <w:t>.</w:t>
      </w:r>
      <w:r>
        <w:rPr>
          <w:rFonts w:ascii="微软雅黑" w:hAnsi="微软雅黑" w:eastAsia="微软雅黑" w:cs="宋体"/>
          <w:bCs/>
          <w:sz w:val="27"/>
          <w:szCs w:val="21"/>
        </w:rPr>
        <w:t>财产性收入、收入差距与政府公共政策选择</w:t>
      </w:r>
      <w:r>
        <w:rPr>
          <w:rFonts w:hint="eastAsia" w:ascii="微软雅黑" w:hAnsi="微软雅黑" w:eastAsia="微软雅黑" w:cs="宋体"/>
          <w:sz w:val="27"/>
          <w:szCs w:val="21"/>
        </w:rPr>
        <w:t>[J].</w:t>
      </w:r>
      <w:r>
        <w:rPr>
          <w:rFonts w:ascii="微软雅黑" w:hAnsi="微软雅黑" w:eastAsia="微软雅黑" w:cs="宋体"/>
          <w:sz w:val="27"/>
          <w:szCs w:val="21"/>
        </w:rPr>
        <w:t xml:space="preserve"> </w:t>
      </w:r>
      <w:r>
        <w:fldChar w:fldCharType="begin"/>
      </w:r>
      <w:r>
        <w:instrText xml:space="preserve"> HYPERLINK </w:instrText>
      </w:r>
      <w:r>
        <w:fldChar w:fldCharType="separate"/>
      </w:r>
      <w:r>
        <w:rPr>
          <w:rFonts w:ascii="微软雅黑" w:hAnsi="微软雅黑" w:eastAsia="微软雅黑" w:cs="宋体"/>
          <w:sz w:val="27"/>
          <w:szCs w:val="21"/>
        </w:rPr>
        <w:t>安徽商贸职业技术学院学报(社会科学版)</w:t>
      </w:r>
      <w:r>
        <w:rPr>
          <w:rFonts w:ascii="微软雅黑" w:hAnsi="微软雅黑" w:eastAsia="微软雅黑" w:cs="宋体"/>
          <w:sz w:val="27"/>
          <w:szCs w:val="21"/>
        </w:rPr>
        <w:fldChar w:fldCharType="end"/>
      </w:r>
      <w:r>
        <w:rPr>
          <w:rFonts w:ascii="微软雅黑" w:hAnsi="微软雅黑" w:eastAsia="微软雅黑" w:cs="宋体"/>
          <w:sz w:val="27"/>
          <w:szCs w:val="21"/>
        </w:rPr>
        <w:t xml:space="preserve">, </w:t>
      </w:r>
      <w:r>
        <w:rPr>
          <w:rFonts w:hint="eastAsia" w:ascii="微软雅黑" w:hAnsi="微软雅黑" w:eastAsia="微软雅黑" w:cs="宋体"/>
          <w:sz w:val="27"/>
          <w:szCs w:val="21"/>
        </w:rPr>
        <w:t>2008,1.</w:t>
      </w:r>
    </w:p>
    <w:p w14:paraId="546AFB5C">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[20]</w:t>
      </w:r>
      <w:r>
        <w:rPr>
          <w:rFonts w:ascii="微软雅黑" w:hAnsi="微软雅黑" w:eastAsia="微软雅黑" w:cs="宋体"/>
          <w:sz w:val="27"/>
          <w:szCs w:val="21"/>
        </w:rPr>
        <w:t>刘飞</w:t>
      </w:r>
      <w:r>
        <w:rPr>
          <w:rFonts w:hint="eastAsia" w:ascii="微软雅黑" w:hAnsi="微软雅黑" w:eastAsia="微软雅黑" w:cs="宋体"/>
          <w:sz w:val="27"/>
          <w:szCs w:val="21"/>
        </w:rPr>
        <w:t>,</w:t>
      </w:r>
      <w:r>
        <w:rPr>
          <w:rFonts w:ascii="微软雅黑" w:hAnsi="微软雅黑" w:eastAsia="微软雅黑" w:cs="宋体"/>
          <w:sz w:val="27"/>
          <w:szCs w:val="21"/>
        </w:rPr>
        <w:t>谢建文</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关于增加农民财产性收入的几点思考</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商业经济</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2008,3.</w:t>
      </w:r>
    </w:p>
    <w:p w14:paraId="56A4F869">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[21]</w:t>
      </w:r>
      <w:r>
        <w:rPr>
          <w:rFonts w:ascii="微软雅黑" w:hAnsi="微软雅黑" w:eastAsia="微软雅黑" w:cs="宋体"/>
          <w:sz w:val="27"/>
          <w:szCs w:val="21"/>
        </w:rPr>
        <w:t>唐泽富</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论我国城镇居民财产性收入的新变化、问题及措施</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企业家天地下半月刊(理论版)</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 xml:space="preserve"> 2008,2.</w:t>
      </w:r>
    </w:p>
    <w:p w14:paraId="3CB2A66F">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[22]丁英.我国居民个人收入差距过大的对策研究[J].四川行政学院学报,2005，5.</w:t>
      </w:r>
    </w:p>
    <w:p w14:paraId="6A8FF726">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[23]</w:t>
      </w:r>
      <w:r>
        <w:rPr>
          <w:rFonts w:ascii="微软雅黑" w:hAnsi="微软雅黑" w:eastAsia="微软雅黑" w:cs="宋体"/>
          <w:sz w:val="27"/>
          <w:szCs w:val="21"/>
        </w:rPr>
        <w:t>陈泉江</w:t>
      </w:r>
      <w:r>
        <w:rPr>
          <w:rFonts w:hint="eastAsia" w:ascii="微软雅黑" w:hAnsi="微软雅黑" w:eastAsia="微软雅黑" w:cs="宋体"/>
          <w:sz w:val="27"/>
          <w:szCs w:val="21"/>
        </w:rPr>
        <w:t>.</w:t>
      </w:r>
      <w:r>
        <w:rPr>
          <w:rFonts w:ascii="微软雅黑" w:hAnsi="微软雅黑" w:eastAsia="微软雅黑" w:cs="宋体"/>
          <w:bCs/>
          <w:sz w:val="27"/>
          <w:szCs w:val="21"/>
        </w:rPr>
        <w:t>增加群众财产性收入的着力点</w:t>
      </w:r>
      <w:r>
        <w:rPr>
          <w:rFonts w:hint="eastAsia" w:ascii="微软雅黑" w:hAnsi="微软雅黑" w:eastAsia="微软雅黑" w:cs="宋体"/>
          <w:bCs/>
          <w:sz w:val="27"/>
          <w:szCs w:val="21"/>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Fonts w:ascii="微软雅黑" w:hAnsi="微软雅黑" w:eastAsia="微软雅黑" w:cs="宋体"/>
          <w:sz w:val="27"/>
        </w:rPr>
        <w:t>延边党校学报</w:t>
      </w:r>
      <w:r>
        <w:rPr>
          <w:rFonts w:ascii="微软雅黑" w:hAnsi="微软雅黑" w:eastAsia="微软雅黑" w:cs="宋体"/>
          <w:sz w:val="27"/>
        </w:rPr>
        <w:fldChar w:fldCharType="end"/>
      </w:r>
      <w:r>
        <w:rPr>
          <w:rFonts w:ascii="微软雅黑" w:hAnsi="微软雅黑" w:eastAsia="微软雅黑" w:cs="宋体"/>
          <w:sz w:val="27"/>
          <w:szCs w:val="21"/>
        </w:rPr>
        <w:t xml:space="preserve">, </w:t>
      </w:r>
      <w:r>
        <w:fldChar w:fldCharType="begin"/>
      </w:r>
      <w:r>
        <w:instrText xml:space="preserve"> HYPERLINK </w:instrText>
      </w:r>
      <w:r>
        <w:fldChar w:fldCharType="separate"/>
      </w:r>
      <w:r>
        <w:rPr>
          <w:rFonts w:hint="eastAsia" w:ascii="微软雅黑" w:hAnsi="微软雅黑" w:eastAsia="微软雅黑" w:cs="宋体"/>
          <w:sz w:val="27"/>
        </w:rPr>
        <w:t>2008,1.</w:t>
      </w:r>
      <w:r>
        <w:rPr>
          <w:rFonts w:hint="eastAsia" w:ascii="微软雅黑" w:hAnsi="微软雅黑" w:eastAsia="微软雅黑" w:cs="宋体"/>
          <w:sz w:val="27"/>
        </w:rPr>
        <w:fldChar w:fldCharType="end"/>
      </w:r>
      <w:r>
        <w:rPr>
          <w:rFonts w:ascii="微软雅黑" w:hAnsi="微软雅黑" w:eastAsia="微软雅黑" w:cs="宋体"/>
          <w:sz w:val="27"/>
          <w:szCs w:val="21"/>
        </w:rPr>
        <w:t>??</w:t>
      </w:r>
    </w:p>
    <w:p w14:paraId="17784FC5">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[24]</w:t>
      </w:r>
      <w:r>
        <w:rPr>
          <w:rFonts w:ascii="微软雅黑" w:hAnsi="微软雅黑" w:eastAsia="微软雅黑" w:cs="宋体"/>
          <w:sz w:val="27"/>
          <w:szCs w:val="21"/>
        </w:rPr>
        <w:t>李爽</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财产性收入差距过大的主要问题</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理论参考</w:t>
      </w:r>
      <w:r>
        <w:rPr>
          <w:rStyle w:val="12"/>
          <w:rFonts w:ascii="微软雅黑" w:hAnsi="微软雅黑" w:eastAsia="微软雅黑" w:cs="宋体"/>
          <w:color w:val="auto"/>
          <w:sz w:val="27"/>
          <w:szCs w:val="21"/>
        </w:rPr>
        <w:fldChar w:fldCharType="end"/>
      </w:r>
      <w:r>
        <w:rPr>
          <w:rFonts w:hint="eastAsia" w:ascii="微软雅黑" w:hAnsi="微软雅黑" w:eastAsia="微软雅黑" w:cs="宋体"/>
          <w:sz w:val="27"/>
          <w:szCs w:val="21"/>
        </w:rPr>
        <w:t>2008,1.</w:t>
      </w:r>
    </w:p>
    <w:p w14:paraId="17E2E3B5">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[25]</w:t>
      </w:r>
      <w:r>
        <w:rPr>
          <w:rFonts w:ascii="微软雅黑" w:hAnsi="微软雅黑" w:eastAsia="微软雅黑" w:cs="宋体"/>
          <w:sz w:val="27"/>
          <w:szCs w:val="21"/>
        </w:rPr>
        <w:t>人民论坛《千人问卷》调查组</w:t>
      </w:r>
      <w:r>
        <w:rPr>
          <w:rFonts w:hint="eastAsia" w:ascii="微软雅黑" w:hAnsi="微软雅黑" w:eastAsia="微软雅黑" w:cs="宋体"/>
          <w:b/>
          <w:sz w:val="27"/>
          <w:szCs w:val="21"/>
        </w:rPr>
        <w:t>.</w:t>
      </w:r>
      <w:r>
        <w:rPr>
          <w:rStyle w:val="13"/>
          <w:rFonts w:ascii="微软雅黑" w:hAnsi="微软雅黑" w:eastAsia="微软雅黑" w:cs="宋体"/>
          <w:b w:val="0"/>
          <w:color w:val="auto"/>
          <w:sz w:val="27"/>
        </w:rPr>
        <w:t>百姓“财产性收入”看法调查分析</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理论参考</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 xml:space="preserve">, </w:t>
      </w:r>
      <w:r>
        <w:fldChar w:fldCharType="begin"/>
      </w:r>
      <w:r>
        <w:instrText xml:space="preserve"> HYPERLINK </w:instrText>
      </w:r>
      <w:r>
        <w:fldChar w:fldCharType="separate"/>
      </w:r>
      <w:r>
        <w:fldChar w:fldCharType="end"/>
      </w:r>
      <w:r>
        <w:rPr>
          <w:rFonts w:hint="eastAsia" w:ascii="微软雅黑" w:hAnsi="微软雅黑" w:eastAsia="微软雅黑" w:cs="宋体"/>
          <w:sz w:val="27"/>
          <w:szCs w:val="21"/>
        </w:rPr>
        <w:t>2008,1.</w:t>
      </w:r>
    </w:p>
    <w:p w14:paraId="66114B70">
      <w:pPr>
        <w:spacing w:after="500" w:line="288" w:lineRule="auto"/>
        <w:ind w:firstLine="540" w:firstLineChars="200"/>
        <w:rPr>
          <w:rFonts w:ascii="微软雅黑" w:hAnsi="微软雅黑" w:eastAsia="微软雅黑" w:cs="Arial"/>
          <w:bCs/>
          <w:color w:val="10619F"/>
          <w:sz w:val="27"/>
          <w:szCs w:val="21"/>
        </w:rPr>
      </w:pPr>
      <w:r>
        <w:rPr>
          <w:rFonts w:hint="eastAsia" w:ascii="微软雅黑" w:hAnsi="微软雅黑" w:eastAsia="微软雅黑" w:cs="宋体"/>
          <w:sz w:val="27"/>
          <w:szCs w:val="21"/>
        </w:rPr>
        <w:t>[26]</w:t>
      </w:r>
      <w:r>
        <w:rPr>
          <w:rFonts w:ascii="微软雅黑" w:hAnsi="微软雅黑" w:eastAsia="微软雅黑" w:cs="宋体"/>
          <w:sz w:val="27"/>
          <w:szCs w:val="21"/>
        </w:rPr>
        <w:t>舒家先</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财产性收入:居民收入增量的重要来源之一</w:t>
      </w:r>
      <w:r>
        <w:rPr>
          <w:rFonts w:hint="eastAsia" w:ascii="微软雅黑" w:hAnsi="微软雅黑" w:eastAsia="微软雅黑" w:cs="宋体"/>
          <w:sz w:val="27"/>
          <w:szCs w:val="21"/>
        </w:rPr>
        <w:t>[J].</w:t>
      </w:r>
      <w:r>
        <w:fldChar w:fldCharType="begin"/>
      </w:r>
      <w:r>
        <w:instrText xml:space="preserve"> HYPERLINK </w:instrText>
      </w:r>
      <w:r>
        <w:fldChar w:fldCharType="separate"/>
      </w:r>
      <w:r>
        <w:rPr>
          <w:rStyle w:val="12"/>
          <w:rFonts w:ascii="微软雅黑" w:hAnsi="微软雅黑" w:eastAsia="微软雅黑" w:cs="宋体"/>
          <w:color w:val="auto"/>
          <w:sz w:val="27"/>
          <w:szCs w:val="21"/>
        </w:rPr>
        <w:t>领导之友</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2008,1.</w:t>
      </w:r>
    </w:p>
    <w:p w14:paraId="7360FF1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[27]罗伯特.索洛.经济增长因素分析[M].北京:商务印书馆，1991年中译本.</w:t>
      </w:r>
    </w:p>
    <w:p w14:paraId="653DCD5F">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[28]刘易斯.二元经济论[M].北京:北京经济学院出版社，1989年中译本.</w:t>
      </w:r>
    </w:p>
    <w:p w14:paraId="0D2C4DC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[29]王春正.中国居民收入分配问题[M].北京:中国计划出版社，199.5</w:t>
      </w:r>
    </w:p>
    <w:p w14:paraId="0CB6378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[30]张平.中国农村居民区域间收入不平等与非农就业[J].经济研究，1998,9.</w:t>
      </w:r>
    </w:p>
    <w:p w14:paraId="3EB1AE7C">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[31]林毅夫等.中国经济转型时期的地区差距分析[J].经济研究，1998,6.</w:t>
      </w:r>
    </w:p>
    <w:p w14:paraId="4BE8C43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[32]陈宗胜.改革发展与收入分配[M].上海:复旦大学出版社，2000.</w:t>
      </w:r>
    </w:p>
    <w:p w14:paraId="495626BC">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[33]陈宗胜，周云波.非法非正常收入对居民收入差别的影响及其经济学解释[J].经济研究，2001,7.</w:t>
      </w:r>
    </w:p>
    <w:p w14:paraId="35F7043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[34]</w:t>
      </w:r>
      <w:r>
        <w:rPr>
          <w:rFonts w:ascii="微软雅黑" w:hAnsi="微软雅黑" w:eastAsia="微软雅黑" w:cs="宋体"/>
          <w:sz w:val="27"/>
          <w:szCs w:val="21"/>
        </w:rPr>
        <w:t>陈宗胜</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中国城市居民收入分配差别现状、趋势及影响因素——以天津市为案例</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经济研究</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w:t>
      </w:r>
      <w:r>
        <w:rPr>
          <w:rFonts w:hint="eastAsia" w:ascii="微软雅黑" w:hAnsi="微软雅黑" w:eastAsia="微软雅黑" w:cs="宋体"/>
          <w:sz w:val="27"/>
          <w:szCs w:val="21"/>
        </w:rPr>
        <w:t>1997,3.</w:t>
      </w:r>
    </w:p>
    <w:p w14:paraId="4D510A3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[35]陈希孺.基尼系数及其估计[J].统计研究，2004,8.</w:t>
      </w:r>
    </w:p>
    <w:p w14:paraId="629C2089">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[36]李实，赵人伟.中国居民收入分配再研究[J].经济研究，1999,4.</w:t>
      </w:r>
    </w:p>
    <w:p w14:paraId="792BDB5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[37]周振华.收入分配[M].上海:上海人民出版社，2003.</w:t>
      </w:r>
    </w:p>
    <w:p w14:paraId="19E45BE3">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[38]曾国安.中国与其他经济转轨国家收人差距变化的比较[J].当代经济研究，2002，5.</w:t>
      </w:r>
    </w:p>
    <w:p w14:paraId="4B3858D7">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[39]曾国安.20世纪70年代末以来中国居民收入差距的演变趋势、现状评价与调节政策选择[J].经济评论，2002,5.</w:t>
      </w:r>
    </w:p>
    <w:p w14:paraId="0CC2C82A">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[40]曾国安，胡振国.20世纪90年代以来中国居民收入差距的变化趋势、原因、影响与调节政策[J].税务与经济，2003,2.</w:t>
      </w:r>
    </w:p>
    <w:p w14:paraId="76062998">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[41]曾国安.关于政府调节居民收入差距的六个原则性问题[J].学术研究，2001,4.</w:t>
      </w:r>
    </w:p>
    <w:p w14:paraId="5E189A97">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[42]</w:t>
      </w:r>
      <w:r>
        <w:rPr>
          <w:rFonts w:ascii="微软雅黑" w:hAnsi="微软雅黑" w:eastAsia="微软雅黑" w:cs="宋体"/>
          <w:sz w:val="27"/>
          <w:szCs w:val="21"/>
        </w:rPr>
        <w:t>巴曙松</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解读“财产性收入”的三重内涵</w:t>
      </w:r>
      <w:r>
        <w:rPr>
          <w:rStyle w:val="13"/>
          <w:rFonts w:hint="eastAsia" w:ascii="微软雅黑" w:hAnsi="微软雅黑" w:eastAsia="微软雅黑" w:cs="宋体"/>
          <w:b w:val="0"/>
          <w:color w:val="auto"/>
          <w:sz w:val="27"/>
        </w:rPr>
        <w:t>[J]</w:t>
      </w:r>
      <w:r>
        <w:rPr>
          <w:rFonts w:hint="eastAsia" w:ascii="微软雅黑" w:hAnsi="微软雅黑" w:eastAsia="微软雅黑" w:cs="宋体"/>
          <w:sz w:val="27"/>
          <w:szCs w:val="21"/>
        </w:rPr>
        <w:t>.</w:t>
      </w:r>
      <w:r>
        <w:fldChar w:fldCharType="begin"/>
      </w:r>
      <w:r>
        <w:instrText xml:space="preserve"> HYPERLINK </w:instrText>
      </w:r>
      <w:r>
        <w:fldChar w:fldCharType="separate"/>
      </w:r>
      <w:r>
        <w:rPr>
          <w:rStyle w:val="12"/>
          <w:rFonts w:ascii="微软雅黑" w:hAnsi="微软雅黑" w:eastAsia="微软雅黑" w:cs="宋体"/>
          <w:color w:val="auto"/>
          <w:sz w:val="27"/>
          <w:szCs w:val="21"/>
        </w:rPr>
        <w:t>时事报告</w:t>
      </w:r>
      <w:r>
        <w:rPr>
          <w:rStyle w:val="12"/>
          <w:rFonts w:ascii="微软雅黑" w:hAnsi="微软雅黑" w:eastAsia="微软雅黑" w:cs="宋体"/>
          <w:color w:val="auto"/>
          <w:sz w:val="27"/>
          <w:szCs w:val="21"/>
        </w:rPr>
        <w:fldChar w:fldCharType="end"/>
      </w:r>
      <w:r>
        <w:rPr>
          <w:rFonts w:ascii="微软雅黑" w:hAnsi="微软雅黑" w:eastAsia="微软雅黑" w:cs="宋体"/>
          <w:sz w:val="27"/>
          <w:szCs w:val="21"/>
        </w:rPr>
        <w:t xml:space="preserve">, </w:t>
      </w:r>
      <w:r>
        <w:rPr>
          <w:rFonts w:hint="eastAsia" w:ascii="微软雅黑" w:hAnsi="微软雅黑" w:eastAsia="微软雅黑" w:cs="宋体"/>
          <w:sz w:val="27"/>
          <w:szCs w:val="21"/>
        </w:rPr>
        <w:t>2008,1.</w:t>
      </w:r>
    </w:p>
    <w:p w14:paraId="1F37B48E">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[43]潘承毅，何迎辉.数理统计的原理与方法[M].上海:同济大学出版社,1993.</w:t>
      </w:r>
    </w:p>
    <w:p w14:paraId="22CBB90D">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[44]林燕平.关于基尼系数局限性的几点讨论[J].数量经济技术经济研究，2001,6.</w:t>
      </w:r>
    </w:p>
    <w:p w14:paraId="3073EE5E">
      <w:pPr>
        <w:spacing w:after="500" w:line="288" w:lineRule="auto"/>
        <w:ind w:firstLine="540" w:firstLineChars="200"/>
        <w:rPr>
          <w:rFonts w:ascii="微软雅黑" w:hAnsi="微软雅黑" w:eastAsia="微软雅黑" w:cs="Arial"/>
          <w:sz w:val="27"/>
          <w:szCs w:val="21"/>
        </w:rPr>
      </w:pPr>
      <w:r>
        <w:rPr>
          <w:rFonts w:hint="eastAsia" w:ascii="微软雅黑" w:hAnsi="微软雅黑" w:eastAsia="微软雅黑" w:cs="宋体"/>
          <w:sz w:val="27"/>
          <w:szCs w:val="21"/>
        </w:rPr>
        <w:t>[45]</w:t>
      </w:r>
      <w:r>
        <w:rPr>
          <w:rFonts w:ascii="微软雅黑" w:hAnsi="微软雅黑" w:eastAsia="微软雅黑" w:cs="宋体"/>
          <w:sz w:val="27"/>
          <w:szCs w:val="21"/>
        </w:rPr>
        <w:t>程国栋</w:t>
      </w:r>
      <w:r>
        <w:rPr>
          <w:rFonts w:hint="eastAsia" w:ascii="微软雅黑" w:hAnsi="微软雅黑" w:eastAsia="微软雅黑" w:cs="宋体"/>
          <w:sz w:val="27"/>
          <w:szCs w:val="21"/>
        </w:rPr>
        <w:t>.</w:t>
      </w:r>
      <w:r>
        <w:rPr>
          <w:rStyle w:val="13"/>
          <w:rFonts w:ascii="微软雅黑" w:hAnsi="微软雅黑" w:eastAsia="微软雅黑" w:cs="宋体"/>
          <w:b w:val="0"/>
          <w:color w:val="auto"/>
          <w:sz w:val="27"/>
        </w:rPr>
        <w:t>我国农民的财产性收入问题研究</w:t>
      </w:r>
      <w:r>
        <w:rPr>
          <w:rFonts w:hint="eastAsia" w:ascii="微软雅黑" w:hAnsi="微软雅黑" w:eastAsia="微软雅黑" w:cs="宋体"/>
          <w:sz w:val="27"/>
          <w:szCs w:val="21"/>
        </w:rPr>
        <w:t>.博士论文,</w:t>
      </w:r>
      <w:r>
        <w:rPr>
          <w:rFonts w:ascii="微软雅黑" w:hAnsi="微软雅黑" w:eastAsia="微软雅黑" w:cs="宋体"/>
          <w:sz w:val="27"/>
          <w:szCs w:val="21"/>
        </w:rPr>
        <w:t>福建师范大学</w:t>
      </w:r>
      <w:r>
        <w:rPr>
          <w:rFonts w:hint="eastAsia" w:ascii="微软雅黑" w:hAnsi="微软雅黑" w:eastAsia="微软雅黑" w:cs="宋体"/>
          <w:sz w:val="27"/>
          <w:szCs w:val="21"/>
        </w:rPr>
        <w:t>.</w:t>
      </w:r>
      <w:r>
        <w:rPr>
          <w:rFonts w:ascii="微软雅黑" w:hAnsi="微软雅黑" w:eastAsia="微软雅黑" w:cs="宋体"/>
          <w:sz w:val="27"/>
          <w:szCs w:val="21"/>
        </w:rPr>
        <w:t>2005</w:t>
      </w:r>
      <w:r>
        <w:rPr>
          <w:rFonts w:hint="eastAsia" w:ascii="微软雅黑" w:hAnsi="微软雅黑" w:eastAsia="微软雅黑" w:cs="宋体"/>
          <w:sz w:val="27"/>
          <w:szCs w:val="21"/>
        </w:rPr>
        <w:t>.</w:t>
      </w:r>
    </w:p>
    <w:p w14:paraId="26D3B6F0">
      <w:pPr>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[46]河北省统计局.河北统计年鉴(1990一2007)[R].北京:中国统计出版社.</w:t>
      </w:r>
    </w:p>
    <w:p w14:paraId="5782A7FF">
      <w:pPr>
        <w:tabs>
          <w:tab w:val="left" w:pos="7380"/>
        </w:tabs>
        <w:spacing w:after="500" w:line="288" w:lineRule="auto"/>
        <w:ind w:firstLine="540" w:firstLineChars="200"/>
        <w:rPr>
          <w:rFonts w:ascii="微软雅黑" w:hAnsi="微软雅黑" w:eastAsia="微软雅黑"/>
          <w:sz w:val="27"/>
          <w:szCs w:val="21"/>
        </w:rPr>
      </w:pPr>
      <w:r>
        <w:rPr>
          <w:rFonts w:hint="eastAsia" w:ascii="微软雅黑" w:hAnsi="微软雅黑" w:eastAsia="微软雅黑" w:cs="宋体"/>
          <w:sz w:val="27"/>
          <w:szCs w:val="21"/>
        </w:rPr>
        <w:t>[47]国家统计局.中国统计年鉴(1999一2007)[R].北京:中国统计出版.</w:t>
      </w:r>
    </w:p>
    <w:sectPr>
      <w:headerReference r:id="rId5" w:type="first"/>
      <w:footerReference r:id="rId8" w:type="first"/>
      <w:headerReference r:id="rId3" w:type="default"/>
      <w:footerReference r:id="rId6" w:type="default"/>
      <w:headerReference r:id="rId4" w:type="even"/>
      <w:footerReference r:id="rId7" w:type="even"/>
      <w:pgSz w:w="14175" w:h="16838"/>
      <w:pgMar w:top="1304" w:right="1247" w:bottom="1417" w:left="1247"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6BECE">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51383">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BAA2F">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FF4DF">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7E413">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B4376">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2F106C"/>
    <w:multiLevelType w:val="multilevel"/>
    <w:tmpl w:val="4F2F106C"/>
    <w:lvl w:ilvl="0" w:tentative="0">
      <w:start w:val="1"/>
      <w:numFmt w:val="japaneseCounting"/>
      <w:lvlText w:val="（%1）"/>
      <w:lvlJc w:val="left"/>
      <w:pPr>
        <w:tabs>
          <w:tab w:val="left" w:pos="720"/>
        </w:tabs>
        <w:ind w:left="720" w:hanging="720"/>
      </w:pPr>
      <w:rPr>
        <w:rFonts w:hint="default"/>
        <w:snapToGrid/>
        <w:spacing w:val="0"/>
        <w:w w:val="100"/>
        <w:kern w:val="2"/>
        <w:position w:val="0"/>
        <w:sz w:val="27"/>
      </w:rPr>
    </w:lvl>
    <w:lvl w:ilvl="1" w:tentative="0">
      <w:start w:val="1"/>
      <w:numFmt w:val="decimal"/>
      <w:lvlText w:val="第%2章"/>
      <w:lvlJc w:val="left"/>
      <w:pPr>
        <w:tabs>
          <w:tab w:val="left" w:pos="1140"/>
        </w:tabs>
        <w:ind w:left="1140" w:hanging="720"/>
      </w:pPr>
      <w:rPr>
        <w:rFonts w:hint="default" w:ascii="宋体" w:hAnsi="宋体" w:eastAsia="宋体" w:cs="宋体"/>
        <w:snapToGrid/>
        <w:spacing w:val="0"/>
        <w:w w:val="100"/>
        <w:kern w:val="2"/>
        <w:position w:val="0"/>
        <w:sz w:val="27"/>
      </w:rPr>
    </w:lvl>
    <w:lvl w:ilvl="2" w:tentative="0">
      <w:start w:val="1"/>
      <w:numFmt w:val="lowerRoman"/>
      <w:lvlText w:val="%3."/>
      <w:lvlJc w:val="right"/>
      <w:pPr>
        <w:tabs>
          <w:tab w:val="left" w:pos="1260"/>
        </w:tabs>
        <w:ind w:left="1260" w:hanging="420"/>
      </w:pPr>
      <w:rPr>
        <w:snapToGrid/>
        <w:spacing w:val="0"/>
        <w:w w:val="100"/>
        <w:kern w:val="2"/>
        <w:position w:val="0"/>
        <w:sz w:val="27"/>
      </w:rPr>
    </w:lvl>
    <w:lvl w:ilvl="3" w:tentative="0">
      <w:start w:val="1"/>
      <w:numFmt w:val="decimal"/>
      <w:lvlText w:val="%4."/>
      <w:lvlJc w:val="left"/>
      <w:pPr>
        <w:tabs>
          <w:tab w:val="left" w:pos="1680"/>
        </w:tabs>
        <w:ind w:left="1680" w:hanging="420"/>
      </w:pPr>
      <w:rPr>
        <w:snapToGrid/>
        <w:spacing w:val="0"/>
        <w:w w:val="100"/>
        <w:kern w:val="2"/>
        <w:position w:val="0"/>
        <w:sz w:val="27"/>
      </w:rPr>
    </w:lvl>
    <w:lvl w:ilvl="4" w:tentative="0">
      <w:start w:val="1"/>
      <w:numFmt w:val="lowerLetter"/>
      <w:lvlText w:val="%5)"/>
      <w:lvlJc w:val="left"/>
      <w:pPr>
        <w:tabs>
          <w:tab w:val="left" w:pos="2100"/>
        </w:tabs>
        <w:ind w:left="2100" w:hanging="420"/>
      </w:pPr>
      <w:rPr>
        <w:snapToGrid/>
        <w:spacing w:val="0"/>
        <w:w w:val="100"/>
        <w:kern w:val="2"/>
        <w:position w:val="0"/>
        <w:sz w:val="27"/>
      </w:rPr>
    </w:lvl>
    <w:lvl w:ilvl="5" w:tentative="0">
      <w:start w:val="1"/>
      <w:numFmt w:val="lowerRoman"/>
      <w:lvlText w:val="%6."/>
      <w:lvlJc w:val="right"/>
      <w:pPr>
        <w:tabs>
          <w:tab w:val="left" w:pos="2520"/>
        </w:tabs>
        <w:ind w:left="2520" w:hanging="420"/>
      </w:pPr>
      <w:rPr>
        <w:snapToGrid/>
        <w:spacing w:val="0"/>
        <w:w w:val="100"/>
        <w:kern w:val="2"/>
        <w:position w:val="0"/>
        <w:sz w:val="27"/>
      </w:rPr>
    </w:lvl>
    <w:lvl w:ilvl="6" w:tentative="0">
      <w:start w:val="1"/>
      <w:numFmt w:val="decimal"/>
      <w:lvlText w:val="%7."/>
      <w:lvlJc w:val="left"/>
      <w:pPr>
        <w:tabs>
          <w:tab w:val="left" w:pos="2940"/>
        </w:tabs>
        <w:ind w:left="2940" w:hanging="420"/>
      </w:pPr>
      <w:rPr>
        <w:snapToGrid/>
        <w:spacing w:val="0"/>
        <w:w w:val="100"/>
        <w:kern w:val="2"/>
        <w:position w:val="0"/>
        <w:sz w:val="27"/>
      </w:rPr>
    </w:lvl>
    <w:lvl w:ilvl="7" w:tentative="0">
      <w:start w:val="1"/>
      <w:numFmt w:val="lowerLetter"/>
      <w:lvlText w:val="%8)"/>
      <w:lvlJc w:val="left"/>
      <w:pPr>
        <w:tabs>
          <w:tab w:val="left" w:pos="3360"/>
        </w:tabs>
        <w:ind w:left="3360" w:hanging="420"/>
      </w:pPr>
      <w:rPr>
        <w:snapToGrid/>
        <w:spacing w:val="0"/>
        <w:w w:val="100"/>
        <w:kern w:val="2"/>
        <w:position w:val="0"/>
        <w:sz w:val="27"/>
      </w:rPr>
    </w:lvl>
    <w:lvl w:ilvl="8" w:tentative="0">
      <w:start w:val="1"/>
      <w:numFmt w:val="lowerRoman"/>
      <w:lvlText w:val="%9."/>
      <w:lvlJc w:val="right"/>
      <w:pPr>
        <w:tabs>
          <w:tab w:val="left" w:pos="3780"/>
        </w:tabs>
        <w:ind w:left="3780" w:hanging="420"/>
      </w:pPr>
      <w:rPr>
        <w:snapToGrid/>
        <w:spacing w:val="0"/>
        <w:w w:val="100"/>
        <w:kern w:val="2"/>
        <w:position w:val="0"/>
        <w:sz w:val="27"/>
      </w:rPr>
    </w:lvl>
  </w:abstractNum>
  <w:abstractNum w:abstractNumId="1">
    <w:nsid w:val="56275A05"/>
    <w:multiLevelType w:val="multilevel"/>
    <w:tmpl w:val="56275A05"/>
    <w:lvl w:ilvl="0" w:tentative="0">
      <w:start w:val="1"/>
      <w:numFmt w:val="japaneseCounting"/>
      <w:lvlText w:val="（%1）"/>
      <w:lvlJc w:val="left"/>
      <w:pPr>
        <w:tabs>
          <w:tab w:val="left" w:pos="720"/>
        </w:tabs>
        <w:ind w:left="720" w:hanging="720"/>
      </w:pPr>
      <w:rPr>
        <w:rFonts w:hint="default" w:ascii="宋体" w:hAnsi="宋体" w:eastAsia="宋体" w:cs="宋体"/>
        <w:snapToGrid/>
        <w:spacing w:val="0"/>
        <w:w w:val="100"/>
        <w:kern w:val="2"/>
        <w:position w:val="0"/>
        <w:sz w:val="27"/>
      </w:rPr>
    </w:lvl>
    <w:lvl w:ilvl="1" w:tentative="0">
      <w:start w:val="1"/>
      <w:numFmt w:val="decimal"/>
      <w:lvlText w:val="%2."/>
      <w:lvlJc w:val="left"/>
      <w:pPr>
        <w:tabs>
          <w:tab w:val="left" w:pos="840"/>
        </w:tabs>
        <w:ind w:left="840" w:hanging="420"/>
      </w:pPr>
      <w:rPr>
        <w:rFonts w:hint="default"/>
        <w:snapToGrid/>
        <w:spacing w:val="0"/>
        <w:w w:val="100"/>
        <w:kern w:val="2"/>
        <w:position w:val="0"/>
        <w:sz w:val="27"/>
      </w:rPr>
    </w:lvl>
    <w:lvl w:ilvl="2" w:tentative="0">
      <w:start w:val="1"/>
      <w:numFmt w:val="lowerRoman"/>
      <w:lvlText w:val="%3."/>
      <w:lvlJc w:val="right"/>
      <w:pPr>
        <w:tabs>
          <w:tab w:val="left" w:pos="1260"/>
        </w:tabs>
        <w:ind w:left="1260" w:hanging="420"/>
      </w:pPr>
      <w:rPr>
        <w:snapToGrid/>
        <w:spacing w:val="0"/>
        <w:w w:val="100"/>
        <w:kern w:val="2"/>
        <w:position w:val="0"/>
        <w:sz w:val="27"/>
      </w:rPr>
    </w:lvl>
    <w:lvl w:ilvl="3" w:tentative="0">
      <w:start w:val="1"/>
      <w:numFmt w:val="decimal"/>
      <w:lvlText w:val="%4."/>
      <w:lvlJc w:val="left"/>
      <w:pPr>
        <w:tabs>
          <w:tab w:val="left" w:pos="1680"/>
        </w:tabs>
        <w:ind w:left="1680" w:hanging="420"/>
      </w:pPr>
      <w:rPr>
        <w:snapToGrid/>
        <w:spacing w:val="0"/>
        <w:w w:val="100"/>
        <w:kern w:val="2"/>
        <w:position w:val="0"/>
        <w:sz w:val="27"/>
      </w:rPr>
    </w:lvl>
    <w:lvl w:ilvl="4" w:tentative="0">
      <w:start w:val="1"/>
      <w:numFmt w:val="lowerLetter"/>
      <w:lvlText w:val="%5)"/>
      <w:lvlJc w:val="left"/>
      <w:pPr>
        <w:tabs>
          <w:tab w:val="left" w:pos="2100"/>
        </w:tabs>
        <w:ind w:left="2100" w:hanging="420"/>
      </w:pPr>
      <w:rPr>
        <w:snapToGrid/>
        <w:spacing w:val="0"/>
        <w:w w:val="100"/>
        <w:kern w:val="2"/>
        <w:position w:val="0"/>
        <w:sz w:val="27"/>
      </w:rPr>
    </w:lvl>
    <w:lvl w:ilvl="5" w:tentative="0">
      <w:start w:val="1"/>
      <w:numFmt w:val="lowerRoman"/>
      <w:lvlText w:val="%6."/>
      <w:lvlJc w:val="right"/>
      <w:pPr>
        <w:tabs>
          <w:tab w:val="left" w:pos="2520"/>
        </w:tabs>
        <w:ind w:left="2520" w:hanging="420"/>
      </w:pPr>
      <w:rPr>
        <w:snapToGrid/>
        <w:spacing w:val="0"/>
        <w:w w:val="100"/>
        <w:kern w:val="2"/>
        <w:position w:val="0"/>
        <w:sz w:val="27"/>
      </w:rPr>
    </w:lvl>
    <w:lvl w:ilvl="6" w:tentative="0">
      <w:start w:val="1"/>
      <w:numFmt w:val="decimal"/>
      <w:lvlText w:val="%7."/>
      <w:lvlJc w:val="left"/>
      <w:pPr>
        <w:tabs>
          <w:tab w:val="left" w:pos="2940"/>
        </w:tabs>
        <w:ind w:left="2940" w:hanging="420"/>
      </w:pPr>
      <w:rPr>
        <w:snapToGrid/>
        <w:spacing w:val="0"/>
        <w:w w:val="100"/>
        <w:kern w:val="2"/>
        <w:position w:val="0"/>
        <w:sz w:val="27"/>
      </w:rPr>
    </w:lvl>
    <w:lvl w:ilvl="7" w:tentative="0">
      <w:start w:val="1"/>
      <w:numFmt w:val="lowerLetter"/>
      <w:lvlText w:val="%8)"/>
      <w:lvlJc w:val="left"/>
      <w:pPr>
        <w:tabs>
          <w:tab w:val="left" w:pos="3360"/>
        </w:tabs>
        <w:ind w:left="3360" w:hanging="420"/>
      </w:pPr>
      <w:rPr>
        <w:snapToGrid/>
        <w:spacing w:val="0"/>
        <w:w w:val="100"/>
        <w:kern w:val="2"/>
        <w:position w:val="0"/>
        <w:sz w:val="27"/>
      </w:rPr>
    </w:lvl>
    <w:lvl w:ilvl="8" w:tentative="0">
      <w:start w:val="1"/>
      <w:numFmt w:val="lowerRoman"/>
      <w:lvlText w:val="%9."/>
      <w:lvlJc w:val="right"/>
      <w:pPr>
        <w:tabs>
          <w:tab w:val="left" w:pos="3780"/>
        </w:tabs>
        <w:ind w:left="3780" w:hanging="420"/>
      </w:pPr>
      <w:rPr>
        <w:snapToGrid/>
        <w:spacing w:val="0"/>
        <w:w w:val="100"/>
        <w:kern w:val="2"/>
        <w:position w:val="0"/>
        <w:sz w:val="27"/>
      </w:rPr>
    </w:lvl>
  </w:abstractNum>
  <w:abstractNum w:abstractNumId="2">
    <w:nsid w:val="73B416BE"/>
    <w:multiLevelType w:val="multilevel"/>
    <w:tmpl w:val="73B416BE"/>
    <w:lvl w:ilvl="0" w:tentative="0">
      <w:start w:val="1"/>
      <w:numFmt w:val="japaneseCounting"/>
      <w:lvlText w:val="%1、"/>
      <w:lvlJc w:val="left"/>
      <w:pPr>
        <w:tabs>
          <w:tab w:val="left" w:pos="420"/>
        </w:tabs>
        <w:ind w:left="420" w:hanging="420"/>
      </w:pPr>
      <w:rPr>
        <w:rFonts w:hint="default" w:ascii="宋体" w:hAnsi="宋体" w:eastAsia="宋体" w:cs="宋体"/>
        <w:snapToGrid/>
        <w:spacing w:val="0"/>
        <w:w w:val="100"/>
        <w:kern w:val="2"/>
        <w:position w:val="0"/>
        <w:sz w:val="27"/>
        <w:lang w:val="en-US"/>
      </w:rPr>
    </w:lvl>
    <w:lvl w:ilvl="1" w:tentative="0">
      <w:start w:val="1"/>
      <w:numFmt w:val="decimal"/>
      <w:lvlText w:val="%2."/>
      <w:lvlJc w:val="left"/>
      <w:pPr>
        <w:tabs>
          <w:tab w:val="left" w:pos="840"/>
        </w:tabs>
        <w:ind w:left="840" w:hanging="420"/>
      </w:pPr>
      <w:rPr>
        <w:rFonts w:hint="default"/>
        <w:snapToGrid/>
        <w:spacing w:val="0"/>
        <w:w w:val="100"/>
        <w:kern w:val="2"/>
        <w:position w:val="0"/>
        <w:sz w:val="27"/>
      </w:rPr>
    </w:lvl>
    <w:lvl w:ilvl="2" w:tentative="0">
      <w:start w:val="1"/>
      <w:numFmt w:val="lowerRoman"/>
      <w:lvlText w:val="%3."/>
      <w:lvlJc w:val="right"/>
      <w:pPr>
        <w:tabs>
          <w:tab w:val="left" w:pos="1260"/>
        </w:tabs>
        <w:ind w:left="1260" w:hanging="420"/>
      </w:pPr>
      <w:rPr>
        <w:snapToGrid/>
        <w:spacing w:val="0"/>
        <w:w w:val="100"/>
        <w:kern w:val="2"/>
        <w:position w:val="0"/>
        <w:sz w:val="27"/>
      </w:rPr>
    </w:lvl>
    <w:lvl w:ilvl="3" w:tentative="0">
      <w:start w:val="1"/>
      <w:numFmt w:val="decimal"/>
      <w:lvlText w:val="%4."/>
      <w:lvlJc w:val="left"/>
      <w:pPr>
        <w:tabs>
          <w:tab w:val="left" w:pos="1680"/>
        </w:tabs>
        <w:ind w:left="1680" w:hanging="420"/>
      </w:pPr>
      <w:rPr>
        <w:snapToGrid/>
        <w:spacing w:val="0"/>
        <w:w w:val="100"/>
        <w:kern w:val="2"/>
        <w:position w:val="0"/>
        <w:sz w:val="27"/>
      </w:rPr>
    </w:lvl>
    <w:lvl w:ilvl="4" w:tentative="0">
      <w:start w:val="1"/>
      <w:numFmt w:val="lowerLetter"/>
      <w:lvlText w:val="%5)"/>
      <w:lvlJc w:val="left"/>
      <w:pPr>
        <w:tabs>
          <w:tab w:val="left" w:pos="2100"/>
        </w:tabs>
        <w:ind w:left="2100" w:hanging="420"/>
      </w:pPr>
      <w:rPr>
        <w:snapToGrid/>
        <w:spacing w:val="0"/>
        <w:w w:val="100"/>
        <w:kern w:val="2"/>
        <w:position w:val="0"/>
        <w:sz w:val="27"/>
      </w:rPr>
    </w:lvl>
    <w:lvl w:ilvl="5" w:tentative="0">
      <w:start w:val="1"/>
      <w:numFmt w:val="lowerRoman"/>
      <w:lvlText w:val="%6."/>
      <w:lvlJc w:val="right"/>
      <w:pPr>
        <w:tabs>
          <w:tab w:val="left" w:pos="2520"/>
        </w:tabs>
        <w:ind w:left="2520" w:hanging="420"/>
      </w:pPr>
      <w:rPr>
        <w:snapToGrid/>
        <w:spacing w:val="0"/>
        <w:w w:val="100"/>
        <w:kern w:val="2"/>
        <w:position w:val="0"/>
        <w:sz w:val="27"/>
      </w:rPr>
    </w:lvl>
    <w:lvl w:ilvl="6" w:tentative="0">
      <w:start w:val="1"/>
      <w:numFmt w:val="decimal"/>
      <w:lvlText w:val="%7."/>
      <w:lvlJc w:val="left"/>
      <w:pPr>
        <w:tabs>
          <w:tab w:val="left" w:pos="2940"/>
        </w:tabs>
        <w:ind w:left="2940" w:hanging="420"/>
      </w:pPr>
      <w:rPr>
        <w:snapToGrid/>
        <w:spacing w:val="0"/>
        <w:w w:val="100"/>
        <w:kern w:val="2"/>
        <w:position w:val="0"/>
        <w:sz w:val="27"/>
      </w:rPr>
    </w:lvl>
    <w:lvl w:ilvl="7" w:tentative="0">
      <w:start w:val="1"/>
      <w:numFmt w:val="lowerLetter"/>
      <w:lvlText w:val="%8)"/>
      <w:lvlJc w:val="left"/>
      <w:pPr>
        <w:tabs>
          <w:tab w:val="left" w:pos="3360"/>
        </w:tabs>
        <w:ind w:left="3360" w:hanging="420"/>
      </w:pPr>
      <w:rPr>
        <w:snapToGrid/>
        <w:spacing w:val="0"/>
        <w:w w:val="100"/>
        <w:kern w:val="2"/>
        <w:position w:val="0"/>
        <w:sz w:val="27"/>
      </w:rPr>
    </w:lvl>
    <w:lvl w:ilvl="8" w:tentative="0">
      <w:start w:val="1"/>
      <w:numFmt w:val="lowerRoman"/>
      <w:lvlText w:val="%9."/>
      <w:lvlJc w:val="right"/>
      <w:pPr>
        <w:tabs>
          <w:tab w:val="left" w:pos="3780"/>
        </w:tabs>
        <w:ind w:left="3780" w:hanging="420"/>
      </w:pPr>
      <w:rPr>
        <w:snapToGrid/>
        <w:spacing w:val="0"/>
        <w:w w:val="100"/>
        <w:kern w:val="2"/>
        <w:position w:val="0"/>
        <w:sz w:val="27"/>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927"/>
    <w:rsid w:val="004A3927"/>
    <w:rsid w:val="30954E9C"/>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semiHidden="0" w:name="header"/>
    <w:lsdException w:qFormat="1"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161616"/>
      <w:kern w:val="2"/>
      <w:lang w:val="en-US" w:eastAsia="en-US" w:bidi="ar-SA"/>
    </w:rPr>
  </w:style>
  <w:style w:type="paragraph" w:styleId="2">
    <w:name w:val="heading 1"/>
    <w:basedOn w:val="1"/>
    <w:next w:val="1"/>
    <w:link w:val="16"/>
    <w:qFormat/>
    <w:uiPriority w:val="0"/>
    <w:pPr>
      <w:spacing w:after="500" w:line="288" w:lineRule="auto"/>
      <w:jc w:val="left"/>
      <w:outlineLvl w:val="0"/>
    </w:pPr>
    <w:rPr>
      <w:rFonts w:ascii="微软雅黑" w:hAnsi="微软雅黑" w:eastAsia="微软雅黑"/>
      <w:b/>
      <w:bCs/>
      <w:sz w:val="30"/>
      <w:szCs w:val="44"/>
    </w:rPr>
  </w:style>
  <w:style w:type="paragraph" w:styleId="3">
    <w:name w:val="heading 2"/>
    <w:basedOn w:val="1"/>
    <w:next w:val="1"/>
    <w:link w:val="17"/>
    <w:semiHidden/>
    <w:unhideWhenUsed/>
    <w:qFormat/>
    <w:uiPriority w:val="0"/>
    <w:pPr>
      <w:spacing w:after="500" w:line="288" w:lineRule="auto"/>
      <w:jc w:val="left"/>
      <w:outlineLvl w:val="1"/>
    </w:pPr>
    <w:rPr>
      <w:rFonts w:ascii="微软雅黑" w:hAnsi="微软雅黑" w:eastAsia="微软雅黑" w:cstheme="majorBidi"/>
      <w:b/>
      <w:bCs/>
      <w:sz w:val="27"/>
      <w:szCs w:val="32"/>
    </w:rPr>
  </w:style>
  <w:style w:type="paragraph" w:styleId="4">
    <w:name w:val="heading 3"/>
    <w:basedOn w:val="1"/>
    <w:next w:val="1"/>
    <w:link w:val="18"/>
    <w:semiHidden/>
    <w:unhideWhenUsed/>
    <w:qFormat/>
    <w:uiPriority w:val="0"/>
    <w:pPr>
      <w:spacing w:after="500" w:line="288" w:lineRule="auto"/>
      <w:jc w:val="left"/>
      <w:outlineLvl w:val="2"/>
    </w:pPr>
    <w:rPr>
      <w:rFonts w:ascii="微软雅黑" w:hAnsi="微软雅黑" w:eastAsia="微软雅黑"/>
      <w:b/>
      <w:bCs/>
      <w:sz w:val="27"/>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5"/>
    <w:unhideWhenUsed/>
    <w:qFormat/>
    <w:uiPriority w:val="0"/>
    <w:pPr>
      <w:tabs>
        <w:tab w:val="center" w:pos="4153"/>
        <w:tab w:val="right" w:pos="8306"/>
      </w:tabs>
      <w:snapToGrid w:val="0"/>
    </w:pPr>
    <w:rPr>
      <w:sz w:val="18"/>
      <w:szCs w:val="18"/>
    </w:rPr>
  </w:style>
  <w:style w:type="paragraph" w:styleId="6">
    <w:name w:val="header"/>
    <w:basedOn w:val="1"/>
    <w:link w:val="14"/>
    <w:unhideWhenUsed/>
    <w:qFormat/>
    <w:uiPriority w:val="0"/>
    <w:pPr>
      <w:pBdr>
        <w:bottom w:val="single" w:color="auto" w:sz="6" w:space="1"/>
      </w:pBdr>
      <w:tabs>
        <w:tab w:val="center" w:pos="4153"/>
        <w:tab w:val="right" w:pos="8306"/>
      </w:tabs>
      <w:snapToGrid w:val="0"/>
      <w:jc w:val="center"/>
    </w:pPr>
    <w:rPr>
      <w:sz w:val="18"/>
      <w:szCs w:val="18"/>
    </w:rPr>
  </w:style>
  <w:style w:type="character" w:styleId="9">
    <w:name w:val="Strong"/>
    <w:basedOn w:val="8"/>
    <w:qFormat/>
    <w:uiPriority w:val="0"/>
    <w:rPr>
      <w:b/>
    </w:rPr>
  </w:style>
  <w:style w:type="character" w:styleId="10">
    <w:name w:val="page number"/>
    <w:basedOn w:val="8"/>
    <w:qFormat/>
    <w:uiPriority w:val="0"/>
  </w:style>
  <w:style w:type="character" w:styleId="11">
    <w:name w:val="Emphasis"/>
    <w:basedOn w:val="8"/>
    <w:qFormat/>
    <w:uiPriority w:val="0"/>
    <w:rPr>
      <w:i/>
    </w:rPr>
  </w:style>
  <w:style w:type="character" w:styleId="12">
    <w:name w:val="Hyperlink"/>
    <w:basedOn w:val="8"/>
    <w:qFormat/>
    <w:uiPriority w:val="0"/>
    <w:rPr>
      <w:color w:val="0000FF"/>
      <w:u w:val="none"/>
    </w:rPr>
  </w:style>
  <w:style w:type="character" w:customStyle="1" w:styleId="13">
    <w:name w:val="datatitle1"/>
    <w:basedOn w:val="8"/>
    <w:qFormat/>
    <w:uiPriority w:val="0"/>
    <w:rPr>
      <w:b/>
      <w:bCs/>
      <w:color w:val="10619F"/>
      <w:sz w:val="21"/>
      <w:szCs w:val="21"/>
    </w:rPr>
  </w:style>
  <w:style w:type="character" w:customStyle="1" w:styleId="14">
    <w:name w:val="页眉 字符"/>
    <w:basedOn w:val="8"/>
    <w:link w:val="6"/>
    <w:qFormat/>
    <w:uiPriority w:val="0"/>
    <w:rPr>
      <w:sz w:val="18"/>
      <w:szCs w:val="18"/>
    </w:rPr>
  </w:style>
  <w:style w:type="character" w:customStyle="1" w:styleId="15">
    <w:name w:val="页脚 字符"/>
    <w:basedOn w:val="8"/>
    <w:link w:val="5"/>
    <w:qFormat/>
    <w:uiPriority w:val="0"/>
    <w:rPr>
      <w:sz w:val="18"/>
      <w:szCs w:val="18"/>
    </w:rPr>
  </w:style>
  <w:style w:type="character" w:customStyle="1" w:styleId="16">
    <w:name w:val="标题 1 字符"/>
    <w:basedOn w:val="8"/>
    <w:link w:val="2"/>
    <w:qFormat/>
    <w:uiPriority w:val="0"/>
    <w:rPr>
      <w:rFonts w:ascii="微软雅黑" w:hAnsi="微软雅黑" w:eastAsia="微软雅黑"/>
      <w:b/>
      <w:bCs/>
      <w:color w:val="161616"/>
      <w:kern w:val="2"/>
      <w:sz w:val="30"/>
      <w:szCs w:val="44"/>
    </w:rPr>
  </w:style>
  <w:style w:type="character" w:customStyle="1" w:styleId="17">
    <w:name w:val="标题 2 字符"/>
    <w:basedOn w:val="8"/>
    <w:link w:val="3"/>
    <w:semiHidden/>
    <w:qFormat/>
    <w:uiPriority w:val="0"/>
    <w:rPr>
      <w:rFonts w:ascii="微软雅黑" w:hAnsi="微软雅黑" w:eastAsia="微软雅黑" w:cstheme="majorBidi"/>
      <w:b/>
      <w:bCs/>
      <w:color w:val="161616"/>
      <w:kern w:val="2"/>
      <w:sz w:val="27"/>
      <w:szCs w:val="32"/>
    </w:rPr>
  </w:style>
  <w:style w:type="character" w:customStyle="1" w:styleId="18">
    <w:name w:val="标题 3 字符"/>
    <w:basedOn w:val="8"/>
    <w:link w:val="4"/>
    <w:semiHidden/>
    <w:qFormat/>
    <w:uiPriority w:val="0"/>
    <w:rPr>
      <w:rFonts w:ascii="微软雅黑" w:hAnsi="微软雅黑" w:eastAsia="微软雅黑"/>
      <w:b/>
      <w:bCs/>
      <w:color w:val="161616"/>
      <w:kern w:val="2"/>
      <w:sz w:val="27"/>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TTOPD08</Manager>
  <Company>TTOPD08</Company>
  <Pages>14</Pages>
  <Words>5511</Words>
  <Characters>6344</Characters>
  <Lines>48</Lines>
  <Paragraphs>13</Paragraphs>
  <TotalTime>1</TotalTime>
  <ScaleCrop>false</ScaleCrop>
  <LinksUpToDate>false</LinksUpToDate>
  <CharactersWithSpaces>6706</CharactersWithSpaces>
  <Application>WPS Office_12.1.0.20754_F1E327BC-269C-435d-A152-05C5408002CA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TTOPD08</cp:category>
  <dcterms:created xsi:type="dcterms:W3CDTF">2022-09-08T03:15:00Z</dcterms:created>
  <dc:creator>TTOPD08</dc:creator>
  <dc:description>TTOPD08</dc:description>
  <cp:keywords>TTOPD08</cp:keywords>
  <cp:lastModifiedBy>HHDN</cp:lastModifiedBy>
  <dcterms:modified xsi:type="dcterms:W3CDTF">2025-11-06T00:52:02Z</dcterms:modified>
  <dc:subject>TTOPD08</dc:subject>
  <dc:title>TTOPD08</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eyJoZGlkIjoiZGM2MDA5ZWI1MWU0ZDMxYjY0ODYwNWFkMzQ4N2MxMTUifQ==</vt:lpwstr>
  </property>
  <property fmtid="{D5CDD505-2E9C-101B-9397-08002B2CF9AE}" pid="3" name="KSOProductBuildVer">
    <vt:lpwstr>2052-12.1.0.20754</vt:lpwstr>
  </property>
  <property fmtid="{D5CDD505-2E9C-101B-9397-08002B2CF9AE}" pid="4" name="ICV">
    <vt:lpwstr>17BB13A7DACE4B9B8988F7083EEBE158_13</vt:lpwstr>
  </property>
</Properties>
</file>