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ТЕМА 7. Лекарства, добавки и лечебные средства</w:t>
      </w:r>
    </w:p>
    <w:p>
      <w:pPr>
        <w:pStyle w:val="FirstParagraph"/>
      </w:pPr>
      <w:r>
        <w:rPr>
          <w:iCs/>
          <w:i/>
        </w:rPr>
        <w:t xml:space="preserve">Рабочий текст после редакторской правки 08.10.2026. Пометки ПРОВЕРИТЬ и «Проверить врачу» — места, где решение принимает врач-консультант. Список источников в конце главы показывает, на чём стоит каждое утверждение.</w:t>
      </w:r>
    </w:p>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p>
      <w:pPr>
        <w:pStyle w:val="BodyText"/>
      </w:pPr>
      <w:r>
        <w:rPr>
          <w:iCs/>
          <w:i/>
        </w:rPr>
        <w:t xml:space="preserve">ПРОВЕРИТЬ: Тема 5 использует букву FDA как самостоятельный довод — расхождение между главами (DISPUTED-CLAIMS, строка 19).</w:t>
      </w:r>
    </w:p>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 По тому же пересчёту первые две недели, о которых шла речь выше, приходятся примерно на срок до четвёртой акушерской недели, то есть до задержки.</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5 книги — списка ваших лекарств и добавок, который удобно вести и показывать врачу.</w:t>
      </w:r>
    </w:p>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Проще говоря: с 37,5 вопрос, чем сбивать, перестаёт быть вашим личным делом и становится поводом позвонить.</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и это позиция и американского консенсусного документа о стоматологической помощи беременным, и справочных служб по тератологии.</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rPr>
          <w:iCs/>
          <w:i/>
        </w:rPr>
        <w:t xml:space="preserve">Проверить врачу: решение автора 08.10.2026 — порог консультации 3 дня при температуре и 5 дней при боли взят из инструкции «Парацетамол Реневал»; 5–7 дней у Видаля трактованы как наибольшая длительность лечения. DISPUTED-CLAIMS, строка 21.</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на четвёртый день ситуация та же, вопрос уже не «что выпить», а «почему болит».</w:t>
      </w:r>
    </w:p>
    <w:p>
      <w:pPr>
        <w:pStyle w:val="BodyText"/>
      </w:pPr>
      <w:r>
        <w:t xml:space="preserve">Одна вещь про суточный максимум, из-за которой его и стоит держать в голове: считается он по веществу, а не по упаковке. Порошок от простуды, «противопростудная» шипучая таблетка и обычный парацетамол — это может быть одно и то же вещество в трёх разных коробках, и суммируются они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 сбить температуру «на всякий случай» — это не осторожность, а обмен подтверждённого риска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rPr>
          <w:iCs/>
          <w:i/>
        </w:rPr>
        <w:t xml:space="preserve">Проверить врачу: решение автора 08.10.2026 — американские окна (13–20 недель — короткий курс) заменены российской нормой: с 20-й недели НПВП противопоказаны, до 20 недель применения советуют избегать (инструкция ибупрофена, письмо Минздрава от 23.11.2020, FDA 2020). DISPUTED-CLAIMS, строка 20.</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и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1"/>
        </w:numPr>
        <w:pStyle w:val="Compact"/>
      </w:pPr>
      <w:r>
        <w:t xml:space="preserve">сильная головная боль;</w:t>
      </w:r>
    </w:p>
    <w:p>
      <w:pPr>
        <w:numPr>
          <w:ilvl w:val="0"/>
          <w:numId w:val="1001"/>
        </w:numPr>
        <w:pStyle w:val="Compact"/>
      </w:pPr>
      <w:r>
        <w:t xml:space="preserve">нарушения зрения — размытие или мелькание перед глазами;</w:t>
      </w:r>
    </w:p>
    <w:p>
      <w:pPr>
        <w:numPr>
          <w:ilvl w:val="0"/>
          <w:numId w:val="1001"/>
        </w:numPr>
        <w:pStyle w:val="Compact"/>
      </w:pPr>
      <w:r>
        <w:t xml:space="preserve">повышение артериального давления выше 120/80;</w:t>
      </w:r>
    </w:p>
    <w:p>
      <w:pPr>
        <w:numPr>
          <w:ilvl w:val="0"/>
          <w:numId w:val="1001"/>
        </w:numPr>
        <w:pStyle w:val="Compact"/>
      </w:pPr>
      <w:r>
        <w:t xml:space="preserve">отёк лица, рук или ног;</w:t>
      </w:r>
    </w:p>
    <w:p>
      <w:pPr>
        <w:numPr>
          <w:ilvl w:val="0"/>
          <w:numId w:val="1001"/>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Звонить в консультацию с любой из этих жалоб нужно в тот же день. Если консультация уже закрыта — вечером, ночью, в выходной, — звоните в скорую помощь: 103 с мобильного, 112 в любой сети. Скорая выезжает не только при угрозе жизни, но и в неотложных случаях — при внезапных острых состояниях без явной угрозы жизни. Если вы позвонили, а тревога не подтвердилась — это нормальный исход обращения, а не ложный вызов.</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Заложенность, тянущаяся третью неделю, обычно означает не провал лечения, а обычное течение ринита беременных, у которого есть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через неделю-полторы всё это заканчивается.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и препараты от расстройства желудка с висмута субсалицилатом.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Систематический обзор Cochrane по промыванию при аллергическом рините показывает, что оно может уменьшать симптомы, а нежелательные эффекты в исследованиях не описаны; достоверность этих данных низкая, и беременных среди участников не было.</w:t>
      </w:r>
    </w:p>
    <w:p>
      <w:pPr>
        <w:pStyle w:val="BodyText"/>
      </w:pPr>
      <w:r>
        <w:t xml:space="preserve">Помогает и то, что лекарством не является: увлажнение воздуха, приподнятое изголовье кровати,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при простуде обычно проходит сам, хотя может держаться до трёх-четырёх недель;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 Если боль в горле не проходит за неделю или кашель держится дольше трёх недель, стоит обратиться к врачу.</w:t>
      </w:r>
    </w:p>
    <w:p>
      <w:pPr>
        <w:pStyle w:val="BodyText"/>
      </w:pPr>
      <w:r>
        <w:rPr>
          <w:bCs/>
          <w:b/>
        </w:rPr>
        <w:t xml:space="preserve">Когда это уже не простуда.</w:t>
      </w:r>
      <w:r>
        <w:t xml:space="preserve"> </w:t>
      </w:r>
      <w:r>
        <w:t xml:space="preserve">Свяжитесь с врачом, если поднялась температура выше 37,5 — этот порог и то, что за ним стоит, разобраны в разделе 7.7 «Боль и температура: чем снижать и когда звонить врачу», и при беременности он действует и здесь. Позвонить стоит и в остальных случаях, когда простуда перестаёт вести себя как простуда:</w:t>
      </w:r>
    </w:p>
    <w:p>
      <w:pPr>
        <w:numPr>
          <w:ilvl w:val="0"/>
          <w:numId w:val="1002"/>
        </w:numPr>
        <w:pStyle w:val="Compact"/>
      </w:pPr>
      <w:r>
        <w:t xml:space="preserve">на третий-четвёртый день стало хуже вместо улучшения;</w:t>
      </w:r>
    </w:p>
    <w:p>
      <w:pPr>
        <w:numPr>
          <w:ilvl w:val="0"/>
          <w:numId w:val="1002"/>
        </w:numPr>
        <w:pStyle w:val="Compact"/>
      </w:pPr>
      <w:r>
        <w:t xml:space="preserve">появилась одышка;</w:t>
      </w:r>
    </w:p>
    <w:p>
      <w:pPr>
        <w:numPr>
          <w:ilvl w:val="0"/>
          <w:numId w:val="1002"/>
        </w:numPr>
        <w:pStyle w:val="Compact"/>
      </w:pPr>
      <w:r>
        <w:t xml:space="preserve">появилась боль в груди или в ухе;</w:t>
      </w:r>
    </w:p>
    <w:p>
      <w:pPr>
        <w:numPr>
          <w:ilvl w:val="0"/>
          <w:numId w:val="1002"/>
        </w:numPr>
        <w:pStyle w:val="Compact"/>
      </w:pPr>
      <w:r>
        <w:t xml:space="preserve">при кашле появилась кровь;</w:t>
      </w:r>
    </w:p>
    <w:p>
      <w:pPr>
        <w:numPr>
          <w:ilvl w:val="0"/>
          <w:numId w:val="1002"/>
        </w:numPr>
        <w:pStyle w:val="Compact"/>
      </w:pPr>
      <w:r>
        <w:t xml:space="preserve">кашель не даёт спать несколько ночей подряд.</w:t>
      </w:r>
    </w:p>
    <w:p>
      <w:pPr>
        <w:pStyle w:val="BodyText"/>
      </w:pPr>
      <w:r>
        <w:t xml:space="preserve">Если консультация уже закрыта, порядок тот же, что в разделе 7.7: скорая помощь, 103 с мобильного или 112 в любой сети.</w:t>
      </w:r>
    </w:p>
    <w:p>
      <w:pPr>
        <w:pStyle w:val="FirstParagraph"/>
      </w:pPr>
      <w:r>
        <w:t xml:space="preserve">И отдельно, потому что ошибка распространённая: высокую температуру при беременности не «пережидают». Почему её сбивают и с какой цифры звонить врачу — в том же разделе 7.7.</w:t>
      </w:r>
    </w:p>
    <w:p>
      <w:pPr>
        <w:pStyle w:val="BodyText"/>
      </w:pPr>
      <w:r>
        <w:t xml:space="preserve">Антибиотик при обычной простуде не нужен: он не действует на вирусы. Разговор об антибиотиках — в разделе 7.15 «Антибиотики: кто выбирает препарат и почему курс допивают».</w:t>
      </w:r>
    </w:p>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сам по себе не считается ни основанием для прерывания беременности, ни поводом для дополнительного наблюдения за ребёнком, если нет других факторов риска.</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3"/>
        </w:numPr>
        <w:pStyle w:val="Compact"/>
      </w:pPr>
      <w:r>
        <w:t xml:space="preserve">затруднённое дыхание, чувство нехватки воздуха;</w:t>
      </w:r>
    </w:p>
    <w:p>
      <w:pPr>
        <w:numPr>
          <w:ilvl w:val="0"/>
          <w:numId w:val="1003"/>
        </w:numPr>
        <w:pStyle w:val="Compact"/>
      </w:pPr>
      <w:r>
        <w:t xml:space="preserve">отёк лица, губ, языка или горла;</w:t>
      </w:r>
    </w:p>
    <w:p>
      <w:pPr>
        <w:numPr>
          <w:ilvl w:val="0"/>
          <w:numId w:val="1003"/>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помощь приехала, а тревога не подтвердилась, это нормальный исход вызова, а не ложная тревога.</w:t>
      </w:r>
    </w:p>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Прежде чем перейти к самим рекомендациям, стоит объяснить одну деталь их устройства, иначе половина сказанного ниже пройдёт мимо. У каждого пункта в них стоит буква — уровень убедительности: насколько твёрдо вывод обоснован.</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движение и клетчатка в этом случае не «общий совет», а мера с доказанной эффективностью.</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Это не пробел книги, а состояние документа: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4"/>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4"/>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4"/>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4"/>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4"/>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4"/>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Речь не о запрете, а о том, что добавка назначается под конкретную задачу или конкретный дефицит, а не «потому что беременность». Для групп риска рекомендации свои: 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 железо — при риске железодефицита или при уже установленной анемии; омега-3 может быть рекомендована курящей женщине из группы риска преждевременных родов.</w:t>
      </w:r>
    </w:p>
    <w:p>
      <w:pPr>
        <w:pStyle w:val="BodyText"/>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Что это означает не в теории, показывает один задокументированный случай. В коммерческих препаратах гинкго билоба обнаруживали колхицин — вещество с тератогенным действием, которого в составе быть не должно вообще.</w:t>
      </w:r>
    </w:p>
    <w:p>
      <w:pPr>
        <w:pStyle w:val="BodyText"/>
      </w:pPr>
      <w:r>
        <w:rPr>
          <w:bCs/>
          <w:b/>
        </w:rPr>
        <w:t xml:space="preserve">Что изучено лучше остального.</w:t>
      </w:r>
    </w:p>
    <w:p>
      <w:pPr>
        <w:numPr>
          <w:ilvl w:val="0"/>
          <w:numId w:val="1005"/>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5"/>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5"/>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6"/>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6"/>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6"/>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6"/>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И главная сложность здесь не в том, что этот сигнал доказанно вреден, а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отказ от нужного препарата — это не отсутствие риска, а другой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w:t>
      </w:r>
    </w:p>
    <w:p>
      <w:pPr>
        <w:pStyle w:val="BodyText"/>
      </w:pPr>
      <w:r>
        <w:t xml:space="preserve">Ваша задача — четыре вещи, и все четыре конкретные:</w:t>
      </w:r>
    </w:p>
    <w:p>
      <w:pPr>
        <w:numPr>
          <w:ilvl w:val="0"/>
          <w:numId w:val="1007"/>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07"/>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07"/>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07"/>
        </w:numPr>
        <w:pStyle w:val="Compact"/>
      </w:pPr>
      <w:r>
        <w:rPr>
          <w:bCs/>
          <w:b/>
        </w:rPr>
        <w:t xml:space="preserve">допить курс до конца</w:t>
      </w:r>
      <w:r>
        <w:t xml:space="preserve"> </w:t>
      </w:r>
      <w:r>
        <w:t xml:space="preserve">— брошенный на середине антибиотик не «меньше лекарства», а невылеченная инфекция и потраченное впустую действие препарата.</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Это не утешение, а точка отсчёта: без неё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08"/>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08"/>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08"/>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08"/>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08"/>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09"/>
        </w:numPr>
        <w:pStyle w:val="Compact"/>
      </w:pPr>
      <w:r>
        <w:t xml:space="preserve">боль в животе;</w:t>
      </w:r>
    </w:p>
    <w:p>
      <w:pPr>
        <w:numPr>
          <w:ilvl w:val="0"/>
          <w:numId w:val="1009"/>
        </w:numPr>
        <w:pStyle w:val="Compact"/>
      </w:pPr>
      <w:r>
        <w:t xml:space="preserve">кровянистые выделения;</w:t>
      </w:r>
    </w:p>
    <w:p>
      <w:pPr>
        <w:numPr>
          <w:ilvl w:val="0"/>
          <w:numId w:val="1009"/>
        </w:numPr>
        <w:pStyle w:val="Compact"/>
      </w:pPr>
      <w:r>
        <w:t xml:space="preserve">резкое ухудшение состояния;</w:t>
      </w:r>
    </w:p>
    <w:p>
      <w:pPr>
        <w:pStyle w:val="FirstParagraph"/>
      </w:pPr>
      <w:r>
        <w:t xml:space="preserve">— то вопрос перестаёт быть вопросом о лекарстве. Сразу позвоните своему врачу или в женскую консультацию; если боль сильная, нарастает или состояние резко ухудшилось, вызывайте скорую помощь: 103 с мобильного, 112 в любой сети. Скажите, что вы беременны, на каком сроке и что принимали. Если тревога не подтвердится, это нормальный исход обращения, а не ложный вызов.</w:t>
      </w:r>
    </w:p>
    <w:p>
      <w:pPr>
        <w:pStyle w:val="BodyText"/>
      </w:pPr>
      <w:r>
        <w:rPr>
          <w:iCs/>
          <w:i/>
        </w:rPr>
        <w:t xml:space="preserve">Проверить врачу: решение автора 08.10.2026 — при боли в животе и кровянистых выделениях сначала звонок врачу (как в памятке КР «Нормальная беременность»), скорая — при сильной, нарастающей боли или резком ухудшении. DISPUTED-CLAIMS, строка 22.</w:t>
      </w:r>
    </w:p>
    <w:p>
      <w:pPr>
        <w:pStyle w:val="BodyText"/>
      </w:pPr>
      <w:r>
        <w:t xml:space="preserve">Эта же ситуация вынесена в Приложение 2 книги — навигатор по жизненным ситуациям, где она стоит рядом с другими случаями «уже случилось, что теперь».</w:t>
      </w:r>
    </w:p>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0"/>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0"/>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0"/>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0"/>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0"/>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1"/>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1"/>
        </w:numPr>
        <w:pStyle w:val="Compact"/>
      </w:pPr>
      <w:r>
        <w:t xml:space="preserve">Есть ли препарат с той же задачей, но лучше изученный при беременности?</w:t>
      </w:r>
    </w:p>
    <w:p>
      <w:pPr>
        <w:numPr>
          <w:ilvl w:val="0"/>
          <w:numId w:val="1011"/>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1"/>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 это не ответ, а отказ отвечать,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Развёрнутый чек-лист вынесен в Приложение 8 книги; здесь дан принцип, чтобы вопрос сложился прямо в кабинете.</w:t>
      </w:r>
    </w:p>
    <w:p>
      <w:pPr>
        <w:pStyle w:val="Heading2"/>
      </w:pPr>
      <w:r>
        <w:t xml:space="preserve">Коротко о главном (Итоги главы)</w:t>
      </w:r>
    </w:p>
    <w:p>
      <w:pPr>
        <w:numPr>
          <w:ilvl w:val="0"/>
          <w:numId w:val="1012"/>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2"/>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2"/>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2"/>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2"/>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2"/>
        </w:numPr>
        <w:pStyle w:val="Compact"/>
      </w:pPr>
      <w:r>
        <w:t xml:space="preserve">Сильная головная боль, нарушения зрения, отёки лица и рук, боль в эпигастрии — не повод для обезболивающего, а повод позвонить в консультацию в тот же день.</w:t>
      </w:r>
    </w:p>
    <w:p>
      <w:pPr>
        <w:numPr>
          <w:ilvl w:val="0"/>
          <w:numId w:val="1012"/>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2"/>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2"/>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25, 26, 30 и 33 перенесены из редакции 07.10.2026 и проверены 07.10.2026.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20">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21">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22">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23">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24">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25">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26">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27">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28">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29">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30">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31">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32">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33">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34">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35">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36">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37">
        <w:r>
          <w:rPr>
            <w:rStyle w:val="Hyperlink"/>
            <w:iCs/>
            <w:i/>
          </w:rPr>
          <w:t xml:space="preserve">pharmvestnik.ru</w:t>
        </w:r>
      </w:hyperlink>
      <w:r>
        <w:rPr>
          <w:iCs/>
          <w:i/>
        </w:rPr>
        <w:t xml:space="preserve">); текст письма выложен там же (</w:t>
      </w:r>
      <w:hyperlink r:id="rId38">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39">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0">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1">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Dumitru C.S., Zara F., Novacescu D. et al. </w:t>
      </w:r>
      <w:hyperlink r:id="rId40">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(7.8).</w:t>
      </w:r>
    </w:p>
    <w:p>
      <w:pPr>
        <w:pStyle w:val="BodyText"/>
      </w:pPr>
      <w:r>
        <w:t xml:space="preserve">22. Head K., Snidvongs K., Glew S. et al. </w:t>
      </w:r>
      <w:hyperlink r:id="rId41">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(7.8).</w:t>
      </w:r>
      <w:r>
        <w:t xml:space="preserve"> </w:t>
      </w:r>
      <w:r>
        <w:rPr>
          <w:iCs/>
          <w:i/>
        </w:rPr>
        <w:t xml:space="preserve">Страница Cochrane Library агенту закрыта (код 412); содержание сверено по резюме на cochrane.org и по реферату в PubMed (PMID 29932206).</w:t>
      </w:r>
    </w:p>
    <w:p>
      <w:pPr>
        <w:pStyle w:val="BodyText"/>
      </w:pPr>
      <w:r>
        <w:t xml:space="preserve">23. Zeitlin J., Shermetaro C., Sutton A.E.</w:t>
      </w:r>
      <w:r>
        <w:t xml:space="preserve"> </w:t>
      </w:r>
      <w:hyperlink r:id="rId42">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24. MotherToBaby (Organization of Teratology Information Specialists).</w:t>
      </w:r>
      <w:r>
        <w:t xml:space="preserve"> </w:t>
      </w:r>
      <w:hyperlink r:id="rId43">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25. NHS.</w:t>
      </w:r>
      <w:r>
        <w:t xml:space="preserve"> </w:t>
      </w:r>
      <w:hyperlink r:id="rId58">
        <w:r>
          <w:rPr>
            <w:rStyle w:val="Hyperlink"/>
          </w:rPr>
          <w:t xml:space="preserve">Cough</w:t>
        </w:r>
      </w:hyperlink>
      <w:r>
        <w:t xml:space="preserve"> —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к врачу — если кашель держится дольше трёх недель; одышка, боль в груди и кровь при кашле — поводы обратиться срочно (7.8).</w:t>
      </w:r>
    </w:p>
    <w:p>
      <w:pPr>
        <w:pStyle w:val="BodyText"/>
      </w:pPr>
      <w:r>
        <w:t xml:space="preserve">26. NHS.</w:t>
      </w:r>
      <w:r>
        <w:t xml:space="preserve"> </w:t>
      </w:r>
      <w:hyperlink r:id="rId59">
        <w:r>
          <w:rPr>
            <w:rStyle w:val="Hyperlink"/>
          </w:rPr>
          <w:t xml:space="preserve">Sore throat</w:t>
        </w:r>
      </w:hyperlink>
      <w:r>
        <w:t xml:space="preserve"> — боль в горле обычно проходит за неделю; отдых, питьё, полоскание тёплой солёной водой, прохладная или мягкая еда; к врачу — если за неделю не проходит (7.8).</w:t>
      </w:r>
    </w:p>
    <w:p>
      <w:pPr>
        <w:pStyle w:val="BodyText"/>
      </w:pPr>
      <w:r>
        <w:rPr>
          <w:bCs/>
          <w:b/>
        </w:rPr>
        <w:t xml:space="preserve">Аллергия</w:t>
      </w:r>
    </w:p>
    <w:p>
      <w:pPr>
        <w:pStyle w:val="BodyText"/>
      </w:pPr>
      <w:r>
        <w:t xml:space="preserve">27. UK Teratology Information Service (UKTIS).</w:t>
      </w:r>
      <w:r>
        <w:t xml:space="preserve"> </w:t>
      </w:r>
      <w:hyperlink r:id="rId4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не считается основанием для прерывания беременности или дополнительного наблюдения плода (7.9).</w:t>
      </w:r>
    </w:p>
    <w:p>
      <w:pPr>
        <w:pStyle w:val="BodyText"/>
      </w:pPr>
      <w:r>
        <w:rPr>
          <w:bCs/>
          <w:b/>
        </w:rPr>
        <w:t xml:space="preserve">Изжога, запор, витамины и добавки, антибиотики</w:t>
      </w:r>
    </w:p>
    <w:p>
      <w:pPr>
        <w:pStyle w:val="BodyText"/>
      </w:pPr>
      <w:r>
        <w:t xml:space="preserve">28. Минздрав России, Российское общество акушеров-гинекологов.</w:t>
      </w:r>
      <w:r>
        <w:t xml:space="preserve"> </w:t>
      </w:r>
      <w:hyperlink r:id="rId4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29. Sarecka-Hujar B., Szulc-Musioł B.</w:t>
      </w:r>
      <w:r>
        <w:t xml:space="preserve"> </w:t>
      </w:r>
      <w:hyperlink r:id="rId4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30. Kowalski R., Baj T., Kowalska G., Pankiewicz U.</w:t>
      </w:r>
      <w:r>
        <w:t xml:space="preserve"> </w:t>
      </w:r>
      <w:hyperlink r:id="rId5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31. Alali A.B., Alhammad F.A., Almohammed Saleh J.A. et al. </w:t>
      </w:r>
      <w:hyperlink r:id="rId47">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32. Chi C.-C., Wang S.-H., Wojnarowska F. et al. </w:t>
      </w:r>
      <w:hyperlink r:id="rId48">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33. DermNet.</w:t>
      </w:r>
      <w:r>
        <w:t xml:space="preserve"> </w:t>
      </w:r>
      <w:hyperlink r:id="rId56">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34. American College of Obstetricians and Gynecologists.</w:t>
      </w:r>
      <w:r>
        <w:t xml:space="preserve"> </w:t>
      </w:r>
      <w:hyperlink r:id="rId49">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35. MotherToBaby (Organization of Teratology Information Specialists).</w:t>
      </w:r>
      <w:r>
        <w:t xml:space="preserve"> </w:t>
      </w:r>
      <w:hyperlink r:id="rId50">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36. Российское общество дерматовенерологов и косметологов.</w:t>
      </w:r>
      <w:r>
        <w:t xml:space="preserve"> </w:t>
      </w:r>
      <w:hyperlink r:id="rId51">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37. Регистр лекарственных средств России (РЛС).</w:t>
      </w:r>
      <w:r>
        <w:t xml:space="preserve"> </w:t>
      </w:r>
      <w:hyperlink r:id="rId52">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38. UK Teratology Information Service (UKTIS).</w:t>
      </w:r>
      <w:r>
        <w:t xml:space="preserve"> </w:t>
      </w:r>
      <w:hyperlink r:id="rId53">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39. MotherToBaby (Organization of Teratology Information Specialists).</w:t>
      </w:r>
      <w:r>
        <w:t xml:space="preserve"> </w:t>
      </w:r>
      <w:hyperlink r:id="rId54">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40. Verteramo R., Pierdomenico M., Greco P., Milano C.</w:t>
      </w:r>
      <w:r>
        <w:t xml:space="preserve"> </w:t>
      </w:r>
      <w:hyperlink r:id="rId55">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Georgia" w:hAnsi="Georgia"/>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Georgia" w:hAnsi="Georgia"/>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Georgia" w:hAnsi="Georgia"/>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Georgia" w:hAnsi="Georgia"/>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Georgia" w:hAnsi="Georgia"/>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Georgia" w:hAnsi="Georgia"/>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Georgia" w:hAnsi="Georgia"/>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Georgia" w:hAnsi="Georgia"/>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Georgia" w:hAnsi="Georgia"/>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Georgia" w:hAnsi="Georgia"/>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 Id="rId56" Type="http://schemas.openxmlformats.org/officeDocument/2006/relationships/hyperlink" Target="https://dermnetnz.org/topics/topical-steroid" TargetMode="External"/><Relationship Id="rId57" Type="http://schemas.openxmlformats.org/officeDocument/2006/relationships/hyperlink" Target="https://journals.plos.org/plosone/article?id=10.1371/journal.pone.0130714" TargetMode="External"/><Relationship Id="rId58" Type="http://schemas.openxmlformats.org/officeDocument/2006/relationships/hyperlink" Target="https://www.nhs.uk/symptoms/cough/" TargetMode="External"/><Relationship Id="rId59" Type="http://schemas.openxmlformats.org/officeDocument/2006/relationships/hyperlink" Target="https://www.nhs.uk/symptoms/sore-throat/" TargetMode="External"/><Relationship Id="rId60" Type="http://schemas.openxmlformats.org/officeDocument/2006/relationships/hyperlink" Target="https://base.garant.ru/409626439/" TargetMode="External"/><Relationship Id="rId61" Type="http://schemas.openxmlformats.org/officeDocument/2006/relationships/hyperlink" Target="https://normativ.kontur.ru/document?moduleId=1&amp;documentId=367761" TargetMode="External"/></Relationships>
</file>

<file path=word/_rels/footnotes.xml.rels><?xml version='1.0' encoding='UTF-8' standalone='yes'?>
<Relationships xmlns="http://schemas.openxmlformats.org/package/2006/relationships"><Relationship Id="rId45" Type="http://schemas.openxmlformats.org/officeDocument/2006/relationships/hyperlink" Target="https://congress-med.ru/assets/files/2024/2024-normalnaya-beremennost.pdf" TargetMode="External"/><Relationship Id="rId32" Type="http://schemas.openxmlformats.org/officeDocument/2006/relationships/hyperlink" Target="https://doi.org/10.1001/jama.2024.3172" TargetMode="External"/><Relationship Id="rId31" Type="http://schemas.openxmlformats.org/officeDocument/2006/relationships/hyperlink" Target="https://doi.org/10.1002/ijgo.70577" TargetMode="External"/><Relationship Id="rId51" Type="http://schemas.openxmlformats.org/officeDocument/2006/relationships/hyperlink" Target="https://ismos.ru/guidelines/doc/akne.pdf" TargetMode="External"/><Relationship Id="rId54" Type="http://schemas.openxmlformats.org/officeDocument/2006/relationships/hyperlink" Target="https://mothertobaby.org/fact-sheets/melatonin/" TargetMode="External"/><Relationship Id="rId21" Type="http://schemas.openxmlformats.org/officeDocument/2006/relationships/hyperlink" Target="https://new.arlis.am/acts/files/331668/2e310f2f0d74132e6a8c0021845b8853d24fa116fc03f829009e0ce97ee9512d" TargetMode="External"/><Relationship Id="rId36" Type="http://schemas.openxmlformats.org/officeDocument/2006/relationships/hyperlink" Target="https://nurofen.ru/pdf/instruction/IMP_Nurofen_forte.pdf" TargetMode="External"/><Relationship Id="rId37" Type="http://schemas.openxmlformats.org/officeDocument/2006/relationships/hyperlink" Target="https://pharmvestnik.ru/content/news/Minzdrav-potreboval-dopolnit-instrukciu-sistemnyh-NPVP-o-protivopokazaniyah-pri-beremennosti.html" TargetMode="External"/><Relationship Id="rId38" Type="http://schemas.openxmlformats.org/officeDocument/2006/relationships/hyperlink" Target="https://pharmvestnik.ru/documents/20-3-2565-ot-23-11-2020.html" TargetMode="External"/><Relationship Id="rId53" Type="http://schemas.openxmlformats.org/officeDocument/2006/relationships/hyperlink" Target="https://uktis.org/monographs/exposure-to-hydroquinone-in-pregnancy/" TargetMode="External"/><Relationship Id="rId30" Type="http://schemas.openxmlformats.org/officeDocument/2006/relationships/hyperlink" Target="https://uktis.org/monographs/therapeutic-use-of-paracetamol-in-pregnancy/" TargetMode="External"/><Relationship Id="rId44" Type="http://schemas.openxmlformats.org/officeDocument/2006/relationships/hyperlink" Target="https://uktis.org/monographs/use-of-loratadine-in-pregnancy/" TargetMode="External"/><Relationship Id="rId25" Type="http://schemas.openxmlformats.org/officeDocument/2006/relationships/hyperlink" Target="https://www.aapd.org/globalassets/media/policies_guidelines/bp_pregnancy25.pdf" TargetMode="External"/><Relationship Id="rId33" Type="http://schemas.openxmlformats.org/officeDocument/2006/relationships/hyperlink" Target="https://www.acog.org/clinical/clinical-guidance/practice-advisory/articles/2025/09/acetaminophen-use-in-pregnancy-and-neurodevelopmental-outcomes" TargetMode="External"/><Relationship Id="rId49" Type="http://schemas.openxmlformats.org/officeDocument/2006/relationships/hyperlink" Target="https://www.acog.org/womens-health/faqs/skin-conditions-during-pregnancy" TargetMode="External"/><Relationship Id="rId24" Type="http://schemas.openxmlformats.org/officeDocument/2006/relationships/hyperlink" Target="https://www.cdc.gov/medicine-and-pregnancy/about/index.html" TargetMode="External"/><Relationship Id="rId48" Type="http://schemas.openxmlformats.org/officeDocument/2006/relationships/hyperlink" Target="https://www.cochrane.org/evidence/CD007346_safety-topical-steroids-pregnancy" TargetMode="External"/><Relationship Id="rId41" Type="http://schemas.openxmlformats.org/officeDocument/2006/relationships/hyperlink" Target="https://www.cochrane.org/evidence/CD012597_nasal-saline-allergic-rhinitis" TargetMode="External"/><Relationship Id="rId39" Type="http://schemas.openxmlformats.org/officeDocument/2006/relationships/hyperlink" Target="https://www.fda.gov/drugs/drug-safety-and-availability/fda-recommends-avoiding-use-nsaids-pregnancy-20-weeks-or-later-because-they-can-result-low-amniotic" TargetMode="External"/><Relationship Id="rId20" Type="http://schemas.openxmlformats.org/officeDocument/2006/relationships/hyperlink" Target="https://www.fda.gov/drugs/labeling-information-drug-products/pregnancy-and-lactation-labeling-drugs-final-rule" TargetMode="External"/><Relationship Id="rId23" Type="http://schemas.openxmlformats.org/officeDocument/2006/relationships/hyperlink" Target="https://www.fda.gov/media/71368/download" TargetMode="External"/><Relationship Id="rId47" Type="http://schemas.openxmlformats.org/officeDocument/2006/relationships/hyperlink" Target="https://www.frontiersin.org/journals/drug-safety-and-regulation/articles/10.3389/fdsfr.2026.1864872/full" TargetMode="External"/><Relationship Id="rId35" Type="http://schemas.openxmlformats.org/officeDocument/2006/relationships/hyperlink" Target="https://www.gov.uk/drug-safety-update/paracetamol-and-pregnancy-reminder-that-taking-paracetamol-during-pregnancy-remains-safe" TargetMode="External"/><Relationship Id="rId22" Type="http://schemas.openxmlformats.org/officeDocument/2006/relationships/hyperlink" Target="https://www.govinfo.gov/content/pkg/FR-2014-12-04/html/2014-28241.htm" TargetMode="External"/><Relationship Id="rId34" Type="http://schemas.openxmlformats.org/officeDocument/2006/relationships/hyperlink" Target="https://www.guidelinecentral.com/guideline/4917226" TargetMode="External"/><Relationship Id="rId26" Type="http://schemas.openxmlformats.org/officeDocument/2006/relationships/hyperlink" Target="https://www.mchoralhealth.org/PDFs/OralHealthPregnancyConsensus.pdf" TargetMode="External"/><Relationship Id="rId46" Type="http://schemas.openxmlformats.org/officeDocument/2006/relationships/hyperlink" Target="https://www.mdpi.com/1999-4923/14/1/171" TargetMode="External"/><Relationship Id="rId40" Type="http://schemas.openxmlformats.org/officeDocument/2006/relationships/hyperlink" Target="https://www.mdpi.com/2075-1729/15/8/1166" TargetMode="External"/><Relationship Id="rId55" Type="http://schemas.openxmlformats.org/officeDocument/2006/relationships/hyperlink" Target="https://www.mdpi.com/2227-9059/10/12/3252" TargetMode="External"/><Relationship Id="rId42" Type="http://schemas.openxmlformats.org/officeDocument/2006/relationships/hyperlink" Target="https://www.ncbi.nlm.nih.gov/books/NBK538318/" TargetMode="External"/><Relationship Id="rId29" Type="http://schemas.openxmlformats.org/officeDocument/2006/relationships/hyperlink" Target="https://www.ncbi.nlm.nih.gov/books/NBK582757/" TargetMode="External"/><Relationship Id="rId43" Type="http://schemas.openxmlformats.org/officeDocument/2006/relationships/hyperlink" Target="https://www.ncbi.nlm.nih.gov/books/NBK582924/" TargetMode="External"/><Relationship Id="rId50" Type="http://schemas.openxmlformats.org/officeDocument/2006/relationships/hyperlink" Target="https://www.ncbi.nlm.nih.gov/books/NBK582985/" TargetMode="External"/><Relationship Id="rId27" Type="http://schemas.openxmlformats.org/officeDocument/2006/relationships/hyperlink" Target="https://www.renewal.ru/upload/iblock/0d5/pvc43taofcxbxc9wct94kzubtdwhd870/Paratsetamol-Reneval-_-instruktsiya-po-primeneniyu.pdf" TargetMode="External"/><Relationship Id="rId52" Type="http://schemas.openxmlformats.org/officeDocument/2006/relationships/hyperlink" Target="https://www.rlsnet.ru/active-substance/benzoila-peroksid-885" TargetMode="External"/><Relationship Id="rId28"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2026-10-08T07:40:15Z</dcterms:created>
  <dcterms:modified xsi:type="dcterms:W3CDTF">2026-10-08T07:40:15Z</dcterms:modified>
</cp:coreProperties>
</file>

<file path=docProps/custom.xml><?xml version="1.0" encoding="utf-8"?>
<Properties xmlns="http://schemas.openxmlformats.org/officeDocument/2006/custom-properties" xmlns:vt="http://schemas.openxmlformats.org/officeDocument/2006/docPropsVTypes"/>
</file>