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остальные; навигатор объединён с Разделом 0, приложения перенумерованы).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Как понимать медицинскую информацию</w:t>
      </w:r>
    </w:p>
    <w:p>
      <w:pPr>
        <w:numPr>
          <w:ilvl w:val="0"/>
          <w:numId w:val="1001"/>
        </w:numPr>
        <w:pStyle w:val="Compact"/>
      </w:pPr>
      <w:r>
        <w:t xml:space="preserve">Приложение 2. Как проверять медицинскую информацию в интернете</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48" w:name="Xb4f7e16e462605257a00f204d1b1e74026ceca3"/>
    <w:p>
      <w:pPr>
        <w:pStyle w:val="Heading2"/>
      </w:pPr>
      <w:r>
        <w:t xml:space="preserve">Приложение 1.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28" w:name="в-обменной-карте-и-заключении-врача"/>
    <w:p>
      <w:pPr>
        <w:pStyle w:val="Heading3"/>
      </w:pPr>
      <w:r>
        <w:t xml:space="preserve">В обменной карте и заключении врача</w:t>
      </w:r>
    </w:p>
    <w:bookmarkStart w:id="21"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1"/>
    <w:bookmarkStart w:id="22"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2"/>
    <w:bookmarkStart w:id="23"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3"/>
    <w:bookmarkStart w:id="24"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4"/>
    <w:bookmarkStart w:id="25"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5"/>
    <w:bookmarkStart w:id="26"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6"/>
    <w:bookmarkStart w:id="27"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27"/>
    <w:bookmarkEnd w:id="28"/>
    <w:bookmarkStart w:id="33" w:name="в-бланке-анализа-и-результате-узи"/>
    <w:p>
      <w:pPr>
        <w:pStyle w:val="Heading3"/>
      </w:pPr>
      <w:r>
        <w:t xml:space="preserve">В бланке анализа и результате УЗИ</w:t>
      </w:r>
    </w:p>
    <w:bookmarkStart w:id="29"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29"/>
    <w:bookmarkStart w:id="30"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0"/>
    <w:bookmarkStart w:id="31"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1"/>
    <w:bookmarkStart w:id="32"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2"/>
    <w:bookmarkEnd w:id="33"/>
    <w:bookmarkStart w:id="42"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4"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4"/>
    <w:bookmarkStart w:id="35"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w:t>
      </w:r>
    </w:p>
    <w:bookmarkEnd w:id="35"/>
    <w:bookmarkStart w:id="36" w:name="как-спросить-врача-о-лекарстве"/>
    <w:p>
      <w:pPr>
        <w:pStyle w:val="Heading4"/>
      </w:pPr>
      <w:r>
        <w:t xml:space="preserve">Как спросить врача о лекарстве</w:t>
      </w:r>
    </w:p>
    <w:p>
      <w:pPr>
        <w:pStyle w:val="FirstParagraph"/>
      </w:pPr>
      <w:r>
        <w:rPr>
          <w:bCs/>
          <w:b/>
        </w:rPr>
        <w:t xml:space="preserve">Что делать.</w:t>
      </w:r>
      <w:r>
        <w:t xml:space="preserve"> </w:t>
      </w: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4"/>
        </w:numPr>
        <w:pStyle w:val="Compact"/>
      </w:pPr>
      <w:r>
        <w:t xml:space="preserve">что будет, если не принимать;</w:t>
      </w:r>
    </w:p>
    <w:p>
      <w:pPr>
        <w:numPr>
          <w:ilvl w:val="0"/>
          <w:numId w:val="1004"/>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w:t>
      </w:r>
    </w:p>
    <w:p>
      <w:pPr>
        <w:pStyle w:val="BodyText"/>
      </w:pPr>
      <w:r>
        <w:rPr>
          <w:iCs/>
          <w:i/>
        </w:rPr>
        <w:t xml:space="preserve">Подробнее: Тема 7, раздел 7.17.</w:t>
      </w:r>
    </w:p>
    <w:bookmarkEnd w:id="36"/>
    <w:bookmarkStart w:id="37" w:name="если-лекарство-уже-приняли"/>
    <w:p>
      <w:pPr>
        <w:pStyle w:val="Heading4"/>
      </w:pPr>
      <w:r>
        <w:t xml:space="preserve">Если лекарство уже приняли</w:t>
      </w:r>
    </w:p>
    <w:p>
      <w:pPr>
        <w:pStyle w:val="FirstParagraph"/>
      </w:pPr>
      <w:r>
        <w:rPr>
          <w:bCs/>
          <w:b/>
        </w:rPr>
        <w:t xml:space="preserve">Что делать.</w:t>
      </w:r>
    </w:p>
    <w:p>
      <w:pPr>
        <w:numPr>
          <w:ilvl w:val="0"/>
          <w:numId w:val="1005"/>
        </w:numPr>
        <w:pStyle w:val="Compact"/>
      </w:pPr>
      <w:r>
        <w:t xml:space="preserve">Ничего не «компенсируйте»: не пейте много воды, не вызывайте рвоту, не принимайте сорбенты.</w:t>
      </w:r>
    </w:p>
    <w:p>
      <w:pPr>
        <w:numPr>
          <w:ilvl w:val="0"/>
          <w:numId w:val="1005"/>
        </w:numPr>
        <w:pStyle w:val="Compact"/>
      </w:pPr>
      <w:r>
        <w:t xml:space="preserve">Не бросайте лекарство, которое назначил врач.</w:t>
      </w:r>
    </w:p>
    <w:p>
      <w:pPr>
        <w:numPr>
          <w:ilvl w:val="0"/>
          <w:numId w:val="1005"/>
        </w:numPr>
        <w:pStyle w:val="Compact"/>
      </w:pPr>
      <w:r>
        <w:t xml:space="preserve">Запишите, что приняли, сколько, когда и на каком сроке. Сохраните упаковку или сфотографируйте её.</w:t>
      </w:r>
    </w:p>
    <w:p>
      <w:pPr>
        <w:numPr>
          <w:ilvl w:val="0"/>
          <w:numId w:val="1005"/>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5"/>
        </w:numPr>
        <w:pStyle w:val="Compact"/>
      </w:pPr>
      <w:r>
        <w:t xml:space="preserve">Если появились боль в животе, кровянистые выделения или резко ухудшилось самочувствие, действуйте по Разделу 0, группы «Кровь и выделения» и «Живот, схватки, ребёнок». Если приняли слишком много таблеток — Раздел 0, группа «Лекарство или алкоголь».</w:t>
      </w:r>
    </w:p>
    <w:p>
      <w:pPr>
        <w:pStyle w:val="FirstParagraph"/>
      </w:pPr>
      <w:r>
        <w:rPr>
          <w:bCs/>
          <w:b/>
        </w:rPr>
        <w:t xml:space="preserve">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Подробнее: Тема 7, раздел 7.16.</w:t>
      </w:r>
    </w:p>
    <w:bookmarkEnd w:id="37"/>
    <w:bookmarkStart w:id="38"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8"/>
    <w:bookmarkStart w:id="39"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39"/>
    <w:bookmarkStart w:id="40"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0"/>
    <w:bookmarkStart w:id="41"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1"/>
    <w:bookmarkEnd w:id="42"/>
    <w:bookmarkStart w:id="47" w:name="исследования-рекомендации-фактор-риска"/>
    <w:p>
      <w:pPr>
        <w:pStyle w:val="Heading3"/>
      </w:pPr>
      <w:r>
        <w:t xml:space="preserve">Исследования, рекомендации, фактор риска</w:t>
      </w:r>
    </w:p>
    <w:bookmarkStart w:id="43"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а одобряет научно-практический совет Минздрава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3"/>
    <w:bookmarkStart w:id="44"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2.</w:t>
      </w:r>
    </w:p>
    <w:bookmarkEnd w:id="44"/>
    <w:bookmarkStart w:id="45"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5"/>
    <w:bookmarkStart w:id="46"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46"/>
    <w:bookmarkEnd w:id="47"/>
    <w:bookmarkEnd w:id="48"/>
    <w:bookmarkStart w:id="53" w:name="X373b0a7b5e3f2549a545c3559c8dab12074f92c"/>
    <w:p>
      <w:pPr>
        <w:pStyle w:val="Heading2"/>
      </w:pPr>
      <w:r>
        <w:t xml:space="preserve">Приложение 2.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Разделе 0 «Быстрая помощь». Если там сказано вызвать скорую или ехать в роддом, действуйте и не тратьте время на поиск в интернете.</w:t>
      </w:r>
    </w:p>
    <w:bookmarkStart w:id="49" w:name="где-искать"/>
    <w:p>
      <w:pPr>
        <w:pStyle w:val="Heading3"/>
      </w:pPr>
      <w:r>
        <w:t xml:space="preserve">Где искать</w:t>
      </w:r>
    </w:p>
    <w:p>
      <w:pPr>
        <w:numPr>
          <w:ilvl w:val="0"/>
          <w:numId w:val="1006"/>
        </w:numPr>
        <w:pStyle w:val="Compact"/>
      </w:pPr>
      <w:r>
        <w:rPr>
          <w:bCs/>
          <w:b/>
        </w:rPr>
        <w:t xml:space="preserve">Клинические рекомендации Минздрава России</w:t>
      </w:r>
      <w:r>
        <w:t xml:space="preserve"> </w:t>
      </w:r>
      <w:r>
        <w:t xml:space="preserve">— официальные документы о том, как обследовать и лечить болезни и состояния; по ним работают врачи.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6"/>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найдите лекарство по названию и откройте последнюю по дате инструкцию.</w:t>
      </w:r>
    </w:p>
    <w:p>
      <w:pPr>
        <w:numPr>
          <w:ilvl w:val="0"/>
          <w:numId w:val="1006"/>
        </w:numPr>
        <w:pStyle w:val="Compact"/>
      </w:pPr>
      <w:r>
        <w:rPr>
          <w:bCs/>
          <w:b/>
        </w:rPr>
        <w:t xml:space="preserve">Сайты Минздрава, государственных больниц и медицинских университетов.</w:t>
      </w:r>
    </w:p>
    <w:bookmarkEnd w:id="49"/>
    <w:bookmarkStart w:id="50" w:name="можно-ли-верить-тексту-четыре-вопроса"/>
    <w:p>
      <w:pPr>
        <w:pStyle w:val="Heading3"/>
      </w:pPr>
      <w:r>
        <w:t xml:space="preserve">Можно ли верить тексту: четыре вопроса</w:t>
      </w:r>
    </w:p>
    <w:p>
      <w:pPr>
        <w:numPr>
          <w:ilvl w:val="0"/>
          <w:numId w:val="1007"/>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7"/>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7"/>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7"/>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w:t>
      </w:r>
    </w:p>
    <w:p>
      <w:pPr>
        <w:pStyle w:val="BodyText"/>
      </w:pPr>
      <w:r>
        <w:rPr>
          <w:iCs/>
          <w:i/>
        </w:rPr>
        <w:t xml:space="preserve">Подробнее: Тема 10, раздел 10.9.</w:t>
      </w:r>
    </w:p>
    <w:p>
      <w:pPr>
        <w:pStyle w:val="BodyText"/>
      </w:pPr>
      <w:r>
        <w:t xml:space="preserve">Проще всего проверить текст с помощью искусственного интеллекта — запрос 1 ниже.</w:t>
      </w:r>
    </w:p>
    <w:bookmarkEnd w:id="50"/>
    <w:bookmarkStart w:id="51"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8"/>
        </w:numPr>
        <w:pStyle w:val="Compact"/>
      </w:pPr>
      <w:r>
        <w:t xml:space="preserve">Копируйте запрос из книги целиком и впишите своё вместо пропусков.</w:t>
      </w:r>
    </w:p>
    <w:p>
      <w:pPr>
        <w:numPr>
          <w:ilvl w:val="0"/>
          <w:numId w:val="1008"/>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8"/>
        </w:numPr>
        <w:pStyle w:val="Compact"/>
      </w:pPr>
      <w:r>
        <w:t xml:space="preserve">Не вводите фамилию, номер полиса, фотографии документов: для ответа они не нужны.</w:t>
      </w:r>
    </w:p>
    <w:p>
      <w:pPr>
        <w:numPr>
          <w:ilvl w:val="0"/>
          <w:numId w:val="1008"/>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группа «Сон и настроение».</w:t>
      </w:r>
    </w:p>
    <w:bookmarkEnd w:id="51"/>
    <w:bookmarkStart w:id="52"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Можно ли мне: еда, процедура, поездка, прививка</w:t>
      </w:r>
    </w:p>
    <w:p>
      <w:pPr>
        <w:pStyle w:val="BlockText"/>
      </w:pPr>
      <w:r>
        <w:t xml:space="preserve">Я беременна, срок ___ недель. Можно ли мне ___ (продукт, напиток, витамин, трава, процедура, поездка, прививка, занятие спортом)? Если есть ограничения — по количеству, способу или сроку беременности, —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Лекарство</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Уже случилось</w:t>
      </w:r>
    </w:p>
    <w:p>
      <w:pPr>
        <w:pStyle w:val="BlockText"/>
      </w:pPr>
      <w:r>
        <w:t xml:space="preserve">Я беременна, срок ___ недель. ___ (что произошло и когда: контакт с заболевшим, укус клеща, выпила алкоголь, сделала рентген). Что известно о таком событии на моём сроке? Сравни с тем, как часто такие же исходы бывают при беременности и без этого. Что мне сделать сейчас, в какие сроки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В HTML у каждого запроса — поле для своего текста и кнопка «Скопировать»; полный текст запроса скрыт под «Показать текст запроса» (</w:t>
      </w:r>
      <w:r>
        <w:rPr>
          <w:rStyle w:val="VerbatimChar"/>
          <w:iCs/>
          <w:i/>
        </w:rPr>
        <w:t xml:space="preserve">editorial/html-navigaciya.md</w:t>
      </w:r>
      <w:r>
        <w:rPr>
          <w:iCs/>
          <w:i/>
        </w:rPr>
        <w:t xml:space="preserve">).</w:t>
      </w:r>
    </w:p>
    <w:p>
      <w:r>
        <w:pict>
          <v:rect style="width:0;height:1.5pt" o:hralign="center" o:hrstd="t" o:hr="t"/>
        </w:pict>
      </w:r>
    </w:p>
    <w:bookmarkEnd w:id="52"/>
    <w:bookmarkEnd w:id="53"/>
    <w:bookmarkStart w:id="61"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Ниже — источники того, чего в темах нет: определения форм и условий медицинской помощи (Приложение 1), как проверять информацию и спрашивать ИИ (Приложение 2), ресурсы проверки лекарств (Приложение 1).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09"/>
        </w:numPr>
        <w:pStyle w:val="Compact"/>
      </w:pPr>
      <w:r>
        <w:t xml:space="preserve">National Library of Medicine (США), MedlinePlus.</w:t>
      </w:r>
      <w:r>
        <w:t xml:space="preserve"> </w:t>
      </w:r>
      <w:hyperlink r:id="rId54">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2, «Можно ли верить тексту: четыре вопроса»).</w:t>
      </w:r>
    </w:p>
    <w:p>
      <w:pPr>
        <w:numPr>
          <w:ilvl w:val="0"/>
          <w:numId w:val="1009"/>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2,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09"/>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2, «Где искать»).</w:t>
      </w:r>
      <w:r>
        <w:t xml:space="preserve"> </w:t>
      </w:r>
      <w:hyperlink r:id="rId55">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09"/>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1).</w:t>
      </w:r>
      <w:r>
        <w:t xml:space="preserve"> </w:t>
      </w:r>
      <w:hyperlink r:id="rId56">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1).</w:t>
      </w:r>
      <w:r>
        <w:t xml:space="preserve"> </w:t>
      </w:r>
      <w:r>
        <w:rPr>
          <w:iCs/>
          <w:i/>
        </w:rPr>
        <w:t xml:space="preserve">ГРЛС закрыт для машинной проверки; порядок работы сверен по пересказу.</w:t>
      </w:r>
    </w:p>
    <w:p>
      <w:pPr>
        <w:numPr>
          <w:ilvl w:val="0"/>
          <w:numId w:val="1009"/>
        </w:numPr>
        <w:pStyle w:val="Compact"/>
      </w:pPr>
      <w:r>
        <w:t xml:space="preserve">Росздравнадзор.</w:t>
      </w:r>
      <w:r>
        <w:t xml:space="preserve"> </w:t>
      </w:r>
      <w:hyperlink r:id="rId57">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1).</w:t>
      </w:r>
      <w:r>
        <w:t xml:space="preserve"> </w:t>
      </w:r>
      <w:r>
        <w:rPr>
          <w:iCs/>
          <w:i/>
        </w:rPr>
        <w:t xml:space="preserve">Даты обновления данных на странице нет.</w:t>
      </w:r>
    </w:p>
    <w:p>
      <w:pPr>
        <w:numPr>
          <w:ilvl w:val="0"/>
          <w:numId w:val="1009"/>
        </w:numPr>
        <w:pStyle w:val="Compact"/>
      </w:pPr>
      <w:r>
        <w:t xml:space="preserve">Росздравнадзор.</w:t>
      </w:r>
      <w:r>
        <w:t xml:space="preserve"> </w:t>
      </w:r>
      <w:hyperlink r:id="rId58">
        <w:r>
          <w:rPr>
            <w:rStyle w:val="Hyperlink"/>
          </w:rPr>
          <w:t xml:space="preserve">Единый реестр лицензий</w:t>
        </w:r>
      </w:hyperlink>
      <w:r>
        <w:t xml:space="preserve"> </w:t>
      </w:r>
      <w:r>
        <w:t xml:space="preserve">— поиск организации по названию, ИНН, ОГРН (Приложение 1).</w:t>
      </w:r>
    </w:p>
    <w:p>
      <w:pPr>
        <w:numPr>
          <w:ilvl w:val="0"/>
          <w:numId w:val="1009"/>
        </w:numPr>
        <w:pStyle w:val="Compact"/>
      </w:pPr>
      <w:r>
        <w:t xml:space="preserve">Оператор системы маркировки «Честный знак» (ООО «Оператор-ЦРПТ»).</w:t>
      </w:r>
      <w:r>
        <w:t xml:space="preserve"> </w:t>
      </w:r>
      <w:hyperlink r:id="rId59">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1).</w:t>
      </w:r>
      <w:r>
        <w:t xml:space="preserve"> </w:t>
      </w:r>
      <w:r>
        <w:rPr>
          <w:iCs/>
          <w:i/>
        </w:rPr>
        <w:t xml:space="preserve">Главная страница и сайт оператора для машинной проверки не открылись.</w:t>
      </w:r>
    </w:p>
    <w:p>
      <w:pPr>
        <w:numPr>
          <w:ilvl w:val="0"/>
          <w:numId w:val="1009"/>
        </w:numPr>
        <w:pStyle w:val="Compact"/>
      </w:pPr>
      <w:r>
        <w:t xml:space="preserve">Росздравнадзор.</w:t>
      </w:r>
      <w:r>
        <w:t xml:space="preserve"> </w:t>
      </w:r>
      <w:hyperlink r:id="rId60">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1).</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09"/>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1);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созданный Минздравом России (Приложение 1, «Клинический»).</w:t>
      </w:r>
      <w:r>
        <w:t xml:space="preserve"> </w:t>
      </w:r>
      <w:r>
        <w:rPr>
          <w:iCs/>
          <w:i/>
        </w:rPr>
        <w:t xml:space="preserve">Статья 37 сверена 20.10.2026 по тексту Федерального закона от 25.12.2018 № 489-ФЗ, которым она изложена (rulaws.ru).</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hyperlink" Target="https://cr.minzdrav.gov.ru/" TargetMode="External"/><Relationship Id="rId56" Type="http://schemas.openxmlformats.org/officeDocument/2006/relationships/hyperlink" Target="https://grls.rosminzdrav.ru/" TargetMode="External"/><Relationship Id="rId54" Type="http://schemas.openxmlformats.org/officeDocument/2006/relationships/hyperlink" Target="https://medlineplus.gov/evaluatinghealthinformation.html" TargetMode="External"/><Relationship Id="rId60" Type="http://schemas.openxmlformats.org/officeDocument/2006/relationships/hyperlink" Target="https://roszdravnadzor.gov.ru/drugs/monitpringlp/faq/c1012/25" TargetMode="External"/><Relationship Id="rId58" Type="http://schemas.openxmlformats.org/officeDocument/2006/relationships/hyperlink" Target="https://roszdravnadzor.gov.ru/services/licenses" TargetMode="External"/><Relationship Id="rId57" Type="http://schemas.openxmlformats.org/officeDocument/2006/relationships/hyperlink" Target="https://roszdravnadzor.gov.ru/services/lssearch" TargetMode="External"/><Relationship Id="rId59"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cr.minzdrav.gov.ru/" TargetMode="External"/><Relationship Id="rId56" Type="http://schemas.openxmlformats.org/officeDocument/2006/relationships/hyperlink" Target="https://grls.rosminzdrav.ru/" TargetMode="External"/><Relationship Id="rId54" Type="http://schemas.openxmlformats.org/officeDocument/2006/relationships/hyperlink" Target="https://medlineplus.gov/evaluatinghealthinformation.html" TargetMode="External"/><Relationship Id="rId60" Type="http://schemas.openxmlformats.org/officeDocument/2006/relationships/hyperlink" Target="https://roszdravnadzor.gov.ru/drugs/monitpringlp/faq/c1012/25" TargetMode="External"/><Relationship Id="rId58" Type="http://schemas.openxmlformats.org/officeDocument/2006/relationships/hyperlink" Target="https://roszdravnadzor.gov.ru/services/licenses" TargetMode="External"/><Relationship Id="rId57" Type="http://schemas.openxmlformats.org/officeDocument/2006/relationships/hyperlink" Target="https://roszdravnadzor.gov.ru/services/lssearch" TargetMode="External"/><Relationship Id="rId59"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2026-10-20T13:47:38Z</dcterms:created>
  <dcterms:modified xsi:type="dcterms:W3CDTF">2026-10-20T13:47:38Z</dcterms:modified>
</cp:coreProperties>
</file>

<file path=docProps/custom.xml><?xml version="1.0" encoding="utf-8"?>
<Properties xmlns="http://schemas.openxmlformats.org/officeDocument/2006/custom-properties" xmlns:vt="http://schemas.openxmlformats.org/officeDocument/2006/docPropsVTypes"/>
</file>