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 По тому же пересчёту первые две недели, о которых шла речь выше, приходятся примерно на срок до четвёртой акушерской недели, то есть до задержки.</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Проще говоря: с 37,5 вопрос, чем сбивать, перестаёт быть вашим личным делом и становится поводом позвонить.</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и это позиция и американского консенсусного документа о стоматологической помощи беременным, и справочных служб по тератологии.</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на четвёртый день ситуация та же, вопрос уже не «что выпить», а «почему болит».</w:t>
      </w:r>
    </w:p>
    <w:p>
      <w:pPr>
        <w:pStyle w:val="BodyText"/>
      </w:pPr>
      <w:r>
        <w:t xml:space="preserve">Одна вещь про суточный максимум, из-за которой его и стоит держать в голове: считается он по веществу, а не по упаковке. Порошок от простуды, «противопростудная» шипучая таблетка и обычный парацетамол — это может быть одно и то же вещество в трёх разных коробках, и суммируются они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 сбить температуру «на всякий случай» — это не осторожность, а обмен подтверждённого риска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и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вы позвонили, а тревога не подтвердилась — это нормальный исход обращения, а не ложный вызов.</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Заложенность, тянущаяся третью неделю, обычно означает не провал лечения, а обычное течение ринита беременных, у которого есть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и препараты от расстройства желудка с висмута субсалицилатом.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Систематический обзор Cochrane по промыванию при аллергическом рините показывает, что оно может уменьшать симптомы, а нежелательные эффекты в исследованиях не описаны; достоверность этих данных низкая, и беременных среди участников не было.</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2"/>
        </w:numPr>
        <w:pStyle w:val="Compact"/>
      </w:pPr>
      <w:r>
        <w:t xml:space="preserve">на третий-четвёртый день стало хуже вместо улучшения;</w:t>
      </w:r>
    </w:p>
    <w:p>
      <w:pPr>
        <w:numPr>
          <w:ilvl w:val="0"/>
          <w:numId w:val="1002"/>
        </w:numPr>
        <w:pStyle w:val="Compact"/>
      </w:pPr>
      <w:r>
        <w:t xml:space="preserve">появилась одышка;</w:t>
      </w:r>
    </w:p>
    <w:p>
      <w:pPr>
        <w:numPr>
          <w:ilvl w:val="0"/>
          <w:numId w:val="1002"/>
        </w:numPr>
        <w:pStyle w:val="Compact"/>
      </w:pPr>
      <w:r>
        <w:t xml:space="preserve">появилась боль в груди или в ухе;</w:t>
      </w:r>
    </w:p>
    <w:p>
      <w:pPr>
        <w:numPr>
          <w:ilvl w:val="0"/>
          <w:numId w:val="1002"/>
        </w:numPr>
        <w:pStyle w:val="Compact"/>
      </w:pPr>
      <w:r>
        <w:t xml:space="preserve">кашель не даёт спать несколько ночей подряд.</w:t>
      </w:r>
    </w:p>
    <w:p>
      <w:pPr>
        <w:pStyle w:val="FirstParagraph"/>
      </w:pPr>
      <w:r>
        <w:t xml:space="preserve">И отдельно, потому что ошибка распространённая: температуру при беременности не «пережидают». Почему сбивать её нужно и с какой цифры — в том же разделе 7.7.</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помощь приехала, а тревога не подтвердилась, это нормальный исход вызова, а не ложная тревога.</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Прежде чем перейти к самим рекомендациям, стоит объяснить одну деталь их устройства, иначе половина сказанного ниже пройдёт мимо. У каждого пункта в них стоит буква — уровень убедительности: насколько твёрдо вывод обоснован.</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движение и клетчатка в этом случае не «общий совет», а мера с доказанной эффективностью.</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отдельным клиническим рекомендациям.</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Это не пробел книги, а состояние документа: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Речь не о запрете, а о том, что добавка назначается под конкретную задачу или конкретный дефицит, а не «потому что беременность». Для групп риска рекомендации свои: 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 железо — при риске железодефицита или при уже установленной анемии; 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w:t>
      </w:r>
    </w:p>
    <w:p>
      <w:pPr>
        <w:pStyle w:val="BodyText"/>
      </w:pPr>
      <w:r>
        <w:t xml:space="preserve">Что это означает не в теории, показывает один задокументированный случай. В коммерческих препаратах гинкго билоба обнаруживали колхицин — вещество с тератогенным действием, которого в составе быть не должно вообще.</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И главная сложность здесь не в том, что этот сигнал доказанно вреден, а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отказ от нужного препарата — это не отсутствие риска, а другой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брошенный на середине антибиотик не «меньше лекарства», а невылеченная инфекция и потраченное впустую действие препарата.</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Это не утешение, а точка отсчёта: без неё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тревога не подтвердится, это нормальный исход обращения, а не ложный вызов.</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 это не ответ, а отказ отвечать,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rPr>
          <w:bCs/>
          <w:b/>
        </w:rPr>
        <w:t xml:space="preserve">Простуда, кашель, насморк</w:t>
      </w:r>
    </w:p>
    <w:p>
      <w:pPr>
        <w:pStyle w:val="BodyText"/>
      </w:pPr>
      <w:r>
        <w:t xml:space="preserve">19.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20.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(7.8).</w:t>
      </w:r>
      <w:r>
        <w:t xml:space="preserve"> </w:t>
      </w:r>
      <w:r>
        <w:rPr>
          <w:iCs/>
          <w:i/>
        </w:rPr>
        <w:t xml:space="preserve">Страница Cochrane Library агенту закрыта (код 412); содержание сверено по резюме на cochrane.org и по реферату в PubMed (PMID 29932206).</w:t>
      </w:r>
    </w:p>
    <w:p>
      <w:pPr>
        <w:pStyle w:val="BodyText"/>
      </w:pPr>
      <w:r>
        <w:t xml:space="preserve">21.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22.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rPr>
          <w:bCs/>
          <w:b/>
        </w:rPr>
        <w:t xml:space="preserve">Аллергия</w:t>
      </w:r>
    </w:p>
    <w:p>
      <w:pPr>
        <w:pStyle w:val="BodyText"/>
      </w:pPr>
      <w:r>
        <w:t xml:space="preserve">23.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24.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25.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rPr>
          <w:bCs/>
          <w:b/>
        </w:rPr>
        <w:t xml:space="preserve">Наружные средства и лечебная косметика</w:t>
      </w:r>
    </w:p>
    <w:p>
      <w:pPr>
        <w:pStyle w:val="BodyText"/>
      </w:pPr>
      <w:r>
        <w:t xml:space="preserve">26.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27.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28.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29.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30.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31.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32.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33.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34.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