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eeac31149abda2715a1c67963c04a32dbde1a7"/>
    <w:p>
      <w:pPr>
        <w:pStyle w:val="Heading1"/>
      </w:pPr>
      <w:r>
        <w:t xml:space="preserve">Приложения — вопросы пользователю и что найти</w:t>
      </w:r>
    </w:p>
    <w:p>
      <w:pPr>
        <w:pStyle w:val="FirstParagraph"/>
      </w:pPr>
      <w:r>
        <w:t xml:space="preserve">Версия 2, 18.10.2026 (утро). Проработаны четыре главных вопроса по поручению пользователя от 18.10.2026, 02:38.</w:t>
      </w:r>
    </w:p>
    <w:p>
      <w:r>
        <w:pict>
          <v:rect style="width:0;height:1.5pt" o:hralign="center" o:hrstd="t" o:hr="t"/>
        </w:pict>
      </w:r>
    </w:p>
    <w:bookmarkStart w:id="20" w:name="сначала-исправление-моей-ошибки"/>
    <w:p>
      <w:pPr>
        <w:pStyle w:val="Heading2"/>
      </w:pPr>
      <w:r>
        <w:t xml:space="preserve">Сначала — исправление моей ошибки</w:t>
      </w:r>
    </w:p>
    <w:p>
      <w:pPr>
        <w:pStyle w:val="FirstParagraph"/>
      </w:pPr>
      <w:r>
        <w:t xml:space="preserve">Во Введении я заменил ссылку на страницу МЧС «Как правильно вызвать скорую», сказав, что не смог её найти. Это было неверно: страница существует, и она уже стоит в списке источников Раздела 0 (№ 6, пункт 0.20). Адрес: https://mchs.gov.ru/deyatelnost/bezopasnost-grazhdan/kak-pravilno-vyzvat-skoruyu_5 — заголовок «Как правильно вызвать скорую?», дата публикации не указана; на ней: 112 — единый номер экстренных служб, скорую можно вызвать и по 103; что сообщить диспетчеру; трубку положить последней, после того как диспетчер подтвердит, что вызов принят.</w:t>
      </w:r>
    </w:p>
    <w:p>
      <w:pPr>
        <w:pStyle w:val="BodyText"/>
      </w:pPr>
      <w:r>
        <w:t xml:space="preserve">Что сделано: в список источников Введения она возвращена вторым пунктом (рядом с Приказом 388н); в Разделе 0 к записи № 6 добавлен адрес — раньше его там не было.</w:t>
      </w:r>
    </w:p>
    <w:p>
      <w:r>
        <w:pict>
          <v:rect style="width:0;height:1.5pt" o:hralign="center" o:hrstd="t" o:hr="t"/>
        </w:pict>
      </w:r>
    </w:p>
    <w:bookmarkEnd w:id="20"/>
    <w:bookmarkStart w:id="24" w:name="Xabb0383f245c181051c1a23018542f717362f87"/>
    <w:p>
      <w:pPr>
        <w:pStyle w:val="Heading2"/>
      </w:pPr>
      <w:r>
        <w:t xml:space="preserve">Вопрос 1. Одна срочность для крови, падения и жалоб после лекарства</w:t>
      </w:r>
    </w:p>
    <w:bookmarkStart w:id="21" w:name="что-сейчас-написано-в-разных-местах"/>
    <w:p>
      <w:pPr>
        <w:pStyle w:val="Heading3"/>
      </w:pPr>
      <w:r>
        <w:t xml:space="preserve">Что сейчас написано в разных местах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Кровянистые выделения любого количества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0.2: в роддом сразу; обильные — скорая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11, 11.6: срочно; обильное — скорая (совпадает)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Скудные кровянистые выделения после близости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0.2: в роддом сразу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4, 4.8: сообщить врачу и наблюдать; обильное, с болью, слабостью — помощь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 в животе или кровянистые выделения после приёма лекарства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и 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7, 7.16: сначала позвонить врачу; при сильной боли — скорая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Падение на живот, удар в живот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0.13: в роддом сразу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8, 8.16: в тот же день (после аварии — сразу); Тема 11, 11.6: «раньше», при боли или выделениях — срочно</w:t>
            </w:r>
          </w:p>
        </w:tc>
      </w:tr>
    </w:tbl>
    <w:bookmarkEnd w:id="21"/>
    <w:bookmarkStart w:id="22" w:name="что-говорят-источники"/>
    <w:p>
      <w:pPr>
        <w:pStyle w:val="Heading3"/>
      </w:pPr>
      <w:r>
        <w:t xml:space="preserve">Что говорят источники</w:t>
      </w:r>
    </w:p>
    <w:p>
      <w:pPr>
        <w:pStyle w:val="FirstParagraph"/>
      </w:pPr>
      <w:r>
        <w:rPr>
          <w:bCs/>
          <w:b/>
        </w:rPr>
        <w:t xml:space="preserve">Кровь из влагалища:</w:t>
      </w:r>
    </w:p>
    <w:p>
      <w:pPr>
        <w:numPr>
          <w:ilvl w:val="0"/>
          <w:numId w:val="1001"/>
        </w:numPr>
        <w:pStyle w:val="Compact"/>
      </w:pPr>
      <w:r>
        <w:t xml:space="preserve">КР «Преждевременная отслойка нормально расположенной плаценты», 2024, ID 800, Приложение В: при любом кровотечении,</w:t>
      </w:r>
      <w:r>
        <w:t xml:space="preserve"> </w:t>
      </w:r>
      <w:r>
        <w:rPr>
          <w:bCs/>
          <w:b/>
        </w:rPr>
        <w:t xml:space="preserve">даже незначительном</w:t>
      </w:r>
      <w:r>
        <w:t xml:space="preserve">, обратиться к врачу для решения вопроса об экстренной госпитализации.</w:t>
      </w:r>
      <w:r>
        <w:t xml:space="preserve"> </w:t>
      </w:r>
      <w:r>
        <w:rPr>
          <w:iCs/>
          <w:i/>
        </w:rPr>
        <w:t xml:space="preserve">Уже в списке Раздела 0 (№ 8).</w:t>
      </w:r>
    </w:p>
    <w:p>
      <w:pPr>
        <w:numPr>
          <w:ilvl w:val="0"/>
          <w:numId w:val="1001"/>
        </w:numPr>
        <w:pStyle w:val="Compact"/>
      </w:pPr>
      <w:r>
        <w:t xml:space="preserve">КР «Нормальная беременность», ID 288, Приложение В (памятка, проверено по файлу в репозитории): при появлении</w:t>
      </w:r>
      <w:r>
        <w:t xml:space="preserve"> </w:t>
      </w:r>
      <w:r>
        <w:rPr>
          <w:bCs/>
          <w:b/>
        </w:rPr>
        <w:t xml:space="preserve">кровяных выделений при половых контактах</w:t>
      </w:r>
      <w:r>
        <w:t xml:space="preserve"> </w:t>
      </w:r>
      <w:r>
        <w:t xml:space="preserve">— прекратить половые контакты и обратиться к врачу; отдельно — обратиться к врачу при появлении кровянистых выделений из половых путей. Срок обращения не назван.</w:t>
      </w:r>
    </w:p>
    <w:p>
      <w:pPr>
        <w:numPr>
          <w:ilvl w:val="0"/>
          <w:numId w:val="1001"/>
        </w:numPr>
        <w:pStyle w:val="Compact"/>
      </w:pPr>
      <w:r>
        <w:t xml:space="preserve">КР «Выкидыш», 2024, ID 670, Приложение В: при кровотечении — срочно обратиться к врачу.</w:t>
      </w:r>
      <w:r>
        <w:t xml:space="preserve"> </w:t>
      </w:r>
      <w:r>
        <w:rPr>
          <w:iCs/>
          <w:i/>
        </w:rPr>
        <w:t xml:space="preserve">Уже в списке Раздела 0 (№ 12).</w:t>
      </w:r>
    </w:p>
    <w:p>
      <w:pPr>
        <w:numPr>
          <w:ilvl w:val="0"/>
          <w:numId w:val="1001"/>
        </w:numPr>
        <w:pStyle w:val="Compact"/>
      </w:pPr>
      <w:r>
        <w:t xml:space="preserve">КР «Патологическое прикрепление плаценты», 2023: при предлежании и врастании — при любом кровотечении вызывать скорую.</w:t>
      </w:r>
      <w:r>
        <w:t xml:space="preserve"> </w:t>
      </w:r>
      <w:r>
        <w:rPr>
          <w:iCs/>
          <w:i/>
        </w:rPr>
        <w:t xml:space="preserve">Уже в Разделе 0 (№ 13).</w:t>
      </w:r>
    </w:p>
    <w:p>
      <w:pPr>
        <w:numPr>
          <w:ilvl w:val="0"/>
          <w:numId w:val="1001"/>
        </w:numPr>
        <w:pStyle w:val="Compact"/>
      </w:pPr>
      <w:r>
        <w:t xml:space="preserve">MedlinePlus (Национальная медицинская библиотека США), «Vaginal bleeding in late pregnancy», проверено 08.11.2024: о любом кровотечении в последние месяцы сообщить врачу сразу;</w:t>
      </w:r>
      <w:r>
        <w:t xml:space="preserve"> </w:t>
      </w:r>
      <w:r>
        <w:rPr>
          <w:bCs/>
          <w:b/>
        </w:rPr>
        <w:t xml:space="preserve">небольшие мажущие выделения после секса или осмотра без других симптомов можно наблюдать дома</w:t>
      </w:r>
      <w:r>
        <w:t xml:space="preserve"> </w:t>
      </w:r>
      <w:r>
        <w:t xml:space="preserve">— чистая прокладка, проверять каждые 30–60 минут несколько часов; если продолжаются — звонить врачу; скорая — при обильном кровотечении, твёрдом болезненном животе, сильных частых схватках. https://medlineplus.gov/ency/patientinstructions/000627.htm</w:t>
      </w:r>
    </w:p>
    <w:p>
      <w:pPr>
        <w:numPr>
          <w:ilvl w:val="0"/>
          <w:numId w:val="1001"/>
        </w:numPr>
        <w:pStyle w:val="Compact"/>
      </w:pPr>
      <w:r>
        <w:t xml:space="preserve">MedlinePlus, «Vaginal bleeding in early pregnancy», проверено 08.11.2024: секс — одна из возможных причин кровянистых выделений в первом триместре, не всегда опасная; при обильном кровотечении, кровотечении с болью или головокружением — к врачу сразу; если кровотечение прекратилось, всё равно связаться с врачом; мажущие выделения до первого УЗИ — сразу к врачу (возможна внематочная беременность). https://medlineplus.gov/ency/patientinstructions/000614.htm</w:t>
      </w:r>
    </w:p>
    <w:p>
      <w:pPr>
        <w:pStyle w:val="FirstParagraph"/>
      </w:pPr>
      <w:r>
        <w:rPr>
          <w:bCs/>
          <w:b/>
        </w:rPr>
        <w:t xml:space="preserve">Падение и удар в живот:</w:t>
      </w:r>
    </w:p>
    <w:p>
      <w:pPr>
        <w:numPr>
          <w:ilvl w:val="0"/>
          <w:numId w:val="1002"/>
        </w:numPr>
        <w:pStyle w:val="Compact"/>
      </w:pPr>
      <w:r>
        <w:t xml:space="preserve">Каримов З. Д. и др. «Травмы у беременных», Неотложная медицинская помощь, 2013, № 1 — после падений, особенно тяжёлых, беременную госпитализируют для наблюдения; мониторинг плода не менее 4 часов.</w:t>
      </w:r>
      <w:r>
        <w:t xml:space="preserve"> </w:t>
      </w:r>
      <w:r>
        <w:rPr>
          <w:iCs/>
          <w:i/>
        </w:rPr>
        <w:t xml:space="preserve">Уже в Разделе 0 (№ 29).</w:t>
      </w:r>
    </w:p>
    <w:p>
      <w:pPr>
        <w:numPr>
          <w:ilvl w:val="0"/>
          <w:numId w:val="1002"/>
        </w:numPr>
        <w:pStyle w:val="Compact"/>
      </w:pPr>
      <w:r>
        <w:t xml:space="preserve">«Вестник акушерской анестезиологии», 2018, № 10 (12) — отслойка после травмы может развиться с опозданием, до 5 суток.</w:t>
      </w:r>
      <w:r>
        <w:t xml:space="preserve"> </w:t>
      </w:r>
      <w:r>
        <w:rPr>
          <w:iCs/>
          <w:i/>
        </w:rPr>
        <w:t xml:space="preserve">Уже в Разделе 0 (№ 29).</w:t>
      </w:r>
    </w:p>
    <w:p>
      <w:pPr>
        <w:numPr>
          <w:ilvl w:val="0"/>
          <w:numId w:val="1002"/>
        </w:numPr>
        <w:pStyle w:val="Compact"/>
      </w:pPr>
      <w:r>
        <w:t xml:space="preserve">SOGC, 2015 — с 23 недель после травмы не менее 4 часов наблюдения за сердцебиением ребёнка; Tommy’s — после травмы живота обратиться сразу, даже без крови и синяков; NHTSA — после аварии сразу.</w:t>
      </w:r>
      <w:r>
        <w:t xml:space="preserve"> </w:t>
      </w:r>
      <w:r>
        <w:rPr>
          <w:iCs/>
          <w:i/>
        </w:rPr>
        <w:t xml:space="preserve">Все уже в Разделе 0.</w:t>
      </w:r>
    </w:p>
    <w:bookmarkEnd w:id="22"/>
    <w:bookmarkStart w:id="23" w:name="предложение-одна-срочность"/>
    <w:p>
      <w:pPr>
        <w:pStyle w:val="Heading3"/>
      </w:pPr>
      <w:r>
        <w:t xml:space="preserve">Предложение: одна срочность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Единая срочность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чём стоит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Кровянистые выделения любого количества, в любой ситуации — сами по себе, после близости, после приёма лекарства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 роддом сразу</w:t>
            </w:r>
            <w:r>
              <w:t xml:space="preserve">; обильные, с сильной болью, слабостью, головокружением —</w:t>
            </w:r>
            <w:r>
              <w:t xml:space="preserve"> </w:t>
            </w:r>
            <w:r>
              <w:rPr>
                <w:bCs/>
                <w:b/>
              </w:rPr>
              <w:t xml:space="preserve">скорая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 ID 800 («даже незначительном»), КР НБ, КР «Выкидыш»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 в животе после приёма лекарства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правилам пункта 0.4: сильная, внезапная, нарастающая или приходящая волнами —</w:t>
            </w:r>
            <w:r>
              <w:t xml:space="preserve"> </w:t>
            </w:r>
            <w:r>
              <w:rPr>
                <w:bCs/>
                <w:b/>
              </w:rPr>
              <w:t xml:space="preserve">в роддом сразу</w:t>
            </w:r>
            <w:r>
              <w:t xml:space="preserve">; внезапная очень сильная, с кровью, слабостью, твёрдым животом —</w:t>
            </w:r>
            <w:r>
              <w:t xml:space="preserve"> </w:t>
            </w:r>
            <w:r>
              <w:rPr>
                <w:bCs/>
                <w:b/>
              </w:rPr>
              <w:t xml:space="preserve">скорая</w:t>
            </w:r>
            <w:r>
              <w:t xml:space="preserve">; кратковременное напряжение, которое проходит в покое за 15–20 минут, само по себе не срочно — тогда звонок врачу по 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0, 0.4; Тема 7, 7.16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Падение на живот, удар в живот, падение с высоты, любая авария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 роддом сразу</w:t>
            </w:r>
            <w:r>
              <w:t xml:space="preserve">, даже если ничего не болит; с кровью, подтеканием, болью, изменением шевелений, слабостью —</w:t>
            </w:r>
            <w:r>
              <w:t xml:space="preserve"> </w:t>
            </w:r>
            <w:r>
              <w:rPr>
                <w:bCs/>
                <w:b/>
              </w:rPr>
              <w:t xml:space="preserve">скорая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Каримов 2013 (российский источник), SOGC, Tommy’s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остаётся вопросом врачу.</w:t>
      </w:r>
      <w:r>
        <w:t xml:space="preserve"> </w:t>
      </w:r>
      <w:r>
        <w:t xml:space="preserve">Российские документы не делают исключения для скудных выделений после близости, а MedlinePlus разрешает понаблюдать дома несколько часов. Предлагаю в книге оставить российское правило («даже незначительное — к врачу»), а расхождение вынести в вопрос врачу (DISPUTED-CLAIMS, строка 57).</w:t>
      </w:r>
    </w:p>
    <w:p>
      <w:pPr>
        <w:pStyle w:val="BodyText"/>
      </w:pPr>
      <w:r>
        <w:rPr>
          <w:bCs/>
          <w:b/>
        </w:rPr>
        <w:t xml:space="preserve">Что нужно выровнять после вашего решения:</w:t>
      </w:r>
      <w:r>
        <w:t xml:space="preserve"> </w:t>
      </w:r>
      <w:r>
        <w:t xml:space="preserve">Тема 4, раздел 4.8; Тема 7, раздел 7.16; Тема 8, раздел 8.16; Тема 11, раздел 11.6 (две строки — кровь после близости в таблице нет, есть падение).</w:t>
      </w:r>
    </w:p>
    <w:p>
      <w:pPr>
        <w:pStyle w:val="BodyText"/>
      </w:pPr>
      <w:r>
        <w:rPr>
          <w:bCs/>
          <w:b/>
        </w:rPr>
        <w:t xml:space="preserve">Ваше решение:</w:t>
      </w:r>
      <w:r>
        <w:t xml:space="preserve"> </w:t>
      </w:r>
      <w:r>
        <w:t xml:space="preserve">принять единую срочность из таблицы? Оставить исключение для выделений после близости как вопрос врачу?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e7bd0e3f8df772b8e73a3863c715a3be2cacd10"/>
    <w:p>
      <w:pPr>
        <w:pStyle w:val="Heading2"/>
      </w:pPr>
      <w:r>
        <w:t xml:space="preserve">Вопрос 2. Сыпь у самой беременной без контакта с заболевшим</w:t>
      </w:r>
    </w:p>
    <w:bookmarkStart w:id="25" w:name="что-про-сыпь-есть-в-книге"/>
    <w:p>
      <w:pPr>
        <w:pStyle w:val="Heading3"/>
      </w:pPr>
      <w:r>
        <w:t xml:space="preserve">Что про сыпь есть в книге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 0, 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сыпь или крапивница, быстро распространяющаяся, вместе с отёком губ, языка, затруднением дыхания — тяжёлая аллергия, скорая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Тема 5,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зуд кожи; пузырьки, волдыри, мокнутие, болезненная сыпь — причину нужно уточнить; зуд</w:t>
            </w:r>
            <w:r>
              <w:t xml:space="preserve"> </w:t>
            </w:r>
            <w:r>
              <w:rPr>
                <w:bCs/>
                <w:b/>
              </w:rPr>
              <w:t xml:space="preserve">без</w:t>
            </w:r>
            <w:r>
              <w:t xml:space="preserve"> </w:t>
            </w:r>
            <w:r>
              <w:t xml:space="preserve">сыпи, особенно ладоней и стоп, — холестаз, к врачу в тот же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Тема 5, 5.4 и др.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сыпь как реакция на косметическое средство — прекратить использование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Тема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сыпь после лекарства, быстро распространяющаяся по телу, — аллергия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Тема 9, 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сыпь появилась у вас</w:t>
            </w:r>
            <w:r>
              <w:t xml:space="preserve"> </w:t>
            </w:r>
            <w:r>
              <w:rPr>
                <w:bCs/>
                <w:b/>
              </w:rPr>
              <w:t xml:space="preserve">после контакта</w:t>
            </w:r>
            <w:r>
              <w:t xml:space="preserve"> </w:t>
            </w:r>
            <w:r>
              <w:t xml:space="preserve">— срочно связаться с врачом, но сначала позвонить, а не приходить в очередь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Тема 9, 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сыпь у ребёнка рядом: ветрянка, корь, краснуха, парвовирус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Тема 9, 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высыпания на губах и половых органах (герпес)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Пробел:</w:t>
      </w:r>
      <w:r>
        <w:t xml:space="preserve"> </w:t>
      </w:r>
      <w:r>
        <w:t xml:space="preserve">сыпь (с температурой или без) у самой беременной, когда контакта с заболевшим не было или о нём неизвестно. В книге нет ответа, что делать и как быстро.</w:t>
      </w:r>
    </w:p>
    <w:bookmarkEnd w:id="25"/>
    <w:bookmarkStart w:id="26" w:name="источник"/>
    <w:p>
      <w:pPr>
        <w:pStyle w:val="Heading3"/>
      </w:pPr>
      <w:r>
        <w:t xml:space="preserve">Источник</w:t>
      </w:r>
    </w:p>
    <w:p>
      <w:pPr>
        <w:pStyle w:val="FirstParagraph"/>
      </w:pPr>
      <w:r>
        <w:t xml:space="preserve">UK Health Security Agency. «Rash in pregnancy: quick reference for health professionals», обновлено 02.08.2024 — https://www.gov.uk/government/publications/viral-rash-in-pregnancy/rash-in-pregnancy-quick-reference-for-health-professionals (проверено 18.10.2026):</w:t>
      </w:r>
    </w:p>
    <w:p>
      <w:pPr>
        <w:numPr>
          <w:ilvl w:val="0"/>
          <w:numId w:val="1003"/>
        </w:numPr>
        <w:pStyle w:val="Compact"/>
      </w:pPr>
      <w:r>
        <w:t xml:space="preserve">беременной советуют</w:t>
      </w:r>
      <w:r>
        <w:t xml:space="preserve"> </w:t>
      </w:r>
      <w:r>
        <w:rPr>
          <w:bCs/>
          <w:b/>
        </w:rPr>
        <w:t xml:space="preserve">срочно сообщить</w:t>
      </w:r>
      <w:r>
        <w:t xml:space="preserve"> </w:t>
      </w:r>
      <w:r>
        <w:t xml:space="preserve">акушеру-гинекологу или терапевту, если сыпь появилась</w:t>
      </w:r>
      <w:r>
        <w:t xml:space="preserve"> </w:t>
      </w:r>
      <w:r>
        <w:rPr>
          <w:bCs/>
          <w:b/>
        </w:rPr>
        <w:t xml:space="preserve">в любой момент беременности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не приходить</w:t>
      </w:r>
      <w:r>
        <w:t xml:space="preserve"> </w:t>
      </w:r>
      <w:r>
        <w:t xml:space="preserve">в женскую консультацию или роддом, пока врач её не оценил, — чтобы не заразить других беременных;</w:t>
      </w:r>
    </w:p>
    <w:p>
      <w:pPr>
        <w:numPr>
          <w:ilvl w:val="0"/>
          <w:numId w:val="1003"/>
        </w:numPr>
        <w:pStyle w:val="Compact"/>
      </w:pPr>
      <w:r>
        <w:t xml:space="preserve">обследование выбирают по виду сыпи (пузырьковая или нет) и обстоятельствам; при подозрении на корь или краснуху врач срочно сообщает в службу эпиднадзора.</w:t>
      </w:r>
    </w:p>
    <w:p>
      <w:pPr>
        <w:pStyle w:val="FirstParagraph"/>
      </w:pPr>
      <w:r>
        <w:t xml:space="preserve">Это тот же документ, которым уже пользуется Тема 9 (полное руководство UKHSA, издание 6.0 от 02.08.2024 — раздел 9.10).</w:t>
      </w:r>
    </w:p>
    <w:bookmarkEnd w:id="26"/>
    <w:bookmarkStart w:id="27" w:name="предложение"/>
    <w:p>
      <w:pPr>
        <w:pStyle w:val="Heading3"/>
      </w:pPr>
      <w:r>
        <w:t xml:space="preserve">Предложение</w:t>
      </w:r>
    </w:p>
    <w:p>
      <w:pPr>
        <w:pStyle w:val="FirstParagraph"/>
      </w:pPr>
      <w:r>
        <w:t xml:space="preserve">Вставить в Тему 9, раздел 9.9, абзац «Сыпь у вас — после контакта или без него» и изменить заголовок раздела: «Контакт с заболевшим или сыпь у вас: что сообщить врачу». Причина: в 9.9 уже есть правило для сыпи после контакта (позвонить, не приходить в очередь) — его нужно расширить на любую сыпь, а не дублировать в другом разделе. В Приложении 1 строка «Сыпь у вас» тогда поведёт в 9.9. Признаки, при которых нужен Раздел 0, остаются прежними: с отёком губ и языка, затруднением дыхания — 0.11; температура выше 38 °C с ознобом и ухудшением — 0.8.</w:t>
      </w:r>
    </w:p>
    <w:p>
      <w:pPr>
        <w:pStyle w:val="BodyText"/>
      </w:pPr>
      <w:r>
        <w:rPr>
          <w:bCs/>
          <w:b/>
        </w:rPr>
        <w:t xml:space="preserve">Российский источник не найден.</w:t>
      </w:r>
      <w:r>
        <w:t xml:space="preserve"> </w:t>
      </w:r>
      <w:r>
        <w:t xml:space="preserve">Региональные памятки о кори советуют «при появлении сыпи — обращаться к врачу», но без автора и даты.</w:t>
      </w:r>
    </w:p>
    <w:p>
      <w:pPr>
        <w:pStyle w:val="BodyText"/>
      </w:pPr>
      <w:r>
        <w:rPr>
          <w:bCs/>
          <w:b/>
        </w:rPr>
        <w:t xml:space="preserve">Ваше решение:</w:t>
      </w:r>
      <w:r>
        <w:t xml:space="preserve"> </w:t>
      </w:r>
      <w:r>
        <w:t xml:space="preserve">вставлять в 9.9 (или в 9.12 о температуре)? Принимаете UKHSA как основной источник, пока не найдём российский?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44039d0d9edc35e875daed36a7c911a11d439b6"/>
    <w:p>
      <w:pPr>
        <w:pStyle w:val="Heading2"/>
      </w:pPr>
      <w:r>
        <w:t xml:space="preserve">Вопрос 3. Уровни срочности: пять или четыре</w:t>
      </w:r>
    </w:p>
    <w:bookmarkStart w:id="29" w:name="как-сейчас"/>
    <w:p>
      <w:pPr>
        <w:pStyle w:val="Heading3"/>
      </w:pPr>
      <w:r>
        <w:t xml:space="preserve">Как сейчас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Тема 11, 11.7</w:t>
      </w:r>
      <w:r>
        <w:t xml:space="preserve"> </w:t>
      </w:r>
      <w:r>
        <w:t xml:space="preserve">— пять уровней: продолжить наблюдение → обсудить на плановом приёме → связаться с врачом раньше → обратиться срочно (роддом) → вызвать скорую.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Тема 11, 11.6</w:t>
      </w:r>
      <w:r>
        <w:t xml:space="preserve"> </w:t>
      </w:r>
      <w:r>
        <w:t xml:space="preserve">(таблица) —</w:t>
      </w:r>
      <w:r>
        <w:t xml:space="preserve"> </w:t>
      </w:r>
      <w:r>
        <w:rPr>
          <w:bCs/>
          <w:b/>
        </w:rPr>
        <w:t xml:space="preserve">четыре</w:t>
      </w:r>
      <w:r>
        <w:t xml:space="preserve"> </w:t>
      </w:r>
      <w:r>
        <w:t xml:space="preserve">уровня: в таблице прямо сказано, что первый уровень, «продолжить наблюдение», в неё не входит.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Content Map</w:t>
      </w:r>
      <w:r>
        <w:t xml:space="preserve"> </w:t>
      </w:r>
      <w:r>
        <w:t xml:space="preserve">— четыре: плановое обсуждение, обращение раньше, срочный осмотр, экстренная помощь.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Раздел 0</w:t>
      </w:r>
      <w:r>
        <w:t xml:space="preserve"> </w:t>
      </w:r>
      <w:r>
        <w:t xml:space="preserve">— два действия: скорая или роддом.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Российский порядок (Приказ 747н, п. 5)</w:t>
      </w:r>
      <w:r>
        <w:t xml:space="preserve"> </w:t>
      </w:r>
      <w:r>
        <w:t xml:space="preserve">— три формы помощи: плановая, неотложная, экстренная.</w:t>
      </w:r>
    </w:p>
    <w:bookmarkEnd w:id="29"/>
    <w:bookmarkStart w:id="30" w:name="анализ"/>
    <w:p>
      <w:pPr>
        <w:pStyle w:val="Heading3"/>
      </w:pPr>
      <w:r>
        <w:t xml:space="preserve">Анализ</w:t>
      </w:r>
    </w:p>
    <w:p>
      <w:pPr>
        <w:numPr>
          <w:ilvl w:val="0"/>
          <w:numId w:val="1005"/>
        </w:numPr>
        <w:pStyle w:val="Compact"/>
      </w:pPr>
      <w:r>
        <w:t xml:space="preserve">«Продолжить наблюдение» — не уровень срочности, а отсутствие обращения. Он полезен как объяснение («это ожидаемо, запишите, если повторяется»), но в лестнице срочности он лишний: таблица 11.6 без него уже обходится.</w:t>
      </w:r>
    </w:p>
    <w:p>
      <w:pPr>
        <w:numPr>
          <w:ilvl w:val="0"/>
          <w:numId w:val="1005"/>
        </w:numPr>
        <w:pStyle w:val="Compact"/>
      </w:pPr>
      <w:r>
        <w:t xml:space="preserve">«Обратиться срочно» и «вызвать скорую» различаются не временем — в обоих случаях сейчас, — а тем, как добраться. Но для читательницы это разные действия, и Раздел 0 целиком построен на этом выборе. Сливать их нельзя.</w:t>
      </w:r>
    </w:p>
    <w:p>
      <w:pPr>
        <w:numPr>
          <w:ilvl w:val="0"/>
          <w:numId w:val="1005"/>
        </w:numPr>
        <w:pStyle w:val="Compact"/>
      </w:pPr>
      <w:r>
        <w:t xml:space="preserve">Три уровня (как формы помощи в 747н) — мало: потеряется разница между «позвонить завтра» и «ехать сейчас».</w:t>
      </w:r>
    </w:p>
    <w:bookmarkEnd w:id="30"/>
    <w:bookmarkStart w:id="31" w:name="предложение-четыре-уровня"/>
    <w:p>
      <w:pPr>
        <w:pStyle w:val="Heading3"/>
      </w:pPr>
      <w:r>
        <w:t xml:space="preserve">Предложение: четыре уровня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Обсудить на плановом приёме.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Связаться с врачом раньше</w:t>
      </w:r>
      <w:r>
        <w:t xml:space="preserve"> </w:t>
      </w:r>
      <w:r>
        <w:t xml:space="preserve">— в тот же или на следующий день.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Ехать в роддом сейчас.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Вызвать скорую.</w:t>
      </w:r>
    </w:p>
    <w:p>
      <w:pPr>
        <w:pStyle w:val="FirstParagraph"/>
      </w:pPr>
      <w:r>
        <w:t xml:space="preserve">«Продолжить наблюдение» — не уровень, а вводная строка перед лестницей: «если изменение ожидаемое и не мешает — наблюдайте и записывайте, если повторяется».</w:t>
      </w:r>
    </w:p>
    <w:p>
      <w:pPr>
        <w:pStyle w:val="BodyText"/>
      </w:pPr>
      <w:r>
        <w:t xml:space="preserve">Это совпадает с таблицей 11.6, с Content Map и с выбором «роддом или скорая» в Разделе 0. Менять нужно: Тему 11, раздел 11.7 (таблица уровней), Введение (список из пяти) и Приложение 3.</w:t>
      </w:r>
    </w:p>
    <w:p>
      <w:pPr>
        <w:pStyle w:val="BodyText"/>
      </w:pPr>
      <w:r>
        <w:rPr>
          <w:bCs/>
          <w:b/>
        </w:rPr>
        <w:t xml:space="preserve">Ваше решение:</w:t>
      </w:r>
      <w:r>
        <w:t xml:space="preserve"> </w:t>
      </w:r>
      <w:r>
        <w:t xml:space="preserve">четыре уровня по этой схеме?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вопрос-4.-ситуации-приложения-2"/>
    <w:p>
      <w:pPr>
        <w:pStyle w:val="Heading2"/>
      </w:pPr>
      <w:r>
        <w:t xml:space="preserve">Вопрос 4. Ситуации Приложения 2</w:t>
      </w:r>
    </w:p>
    <w:p>
      <w:pPr>
        <w:pStyle w:val="FirstParagraph"/>
      </w:pPr>
      <w:r>
        <w:t xml:space="preserve">Все ситуации;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сверх плана Content Map. Две пары перекрывающихся строк я объединил; остальные добавленные оставлены, потому что за каждой стоит раздел книги и частая ситуация, для которой нет строки в плане.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читать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добавлена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приняла лекарство и не уверена, можно ли его при беременности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назначили новый препарат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7.1, 7.17; Прил.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принимаю лекарство, начатое до беременности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частая ситуация и правило безопасности: назначенное не бросают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выпила алкоголь до того, как узнала о беременности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надышалась дымом, краской, бытовой химией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8.3, 8.7, 8.8;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контактировала с заболевшим; у ребёнка в семье сыпь; в детском саду или школе вспышка инфекции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9.2, 9.9, 9.10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объединено: строка плана + добавленная строка о детях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Меня укусил клещ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0.14; 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Меня укусило животное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0.14; 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упала, ударилась животом, попала в аварию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0.13; 8.16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предстоит поездка: на машине, самолётом, в другую страну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8.13–8.15; 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объединено: строка плана «перелёт» + добавленная «машина»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нужно лечить зуб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6.5–6.7; 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хочу использовать косметическое или лечебное средство для кожи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5.4; 7.13; 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съела продукт, безопасность которого вызывает сомнения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1.5; 9.3; 9.13; 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заметила, что ребёнок двигается иначе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0.9; 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перегрелась: баня, жара, солнце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8.9; 5.5;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острая ситуация с пунктом в Разделе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меня положительный анализ на антитела (IgM, IgG)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частый повод для тревоги; в книге есть отдельный 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предлагают прививку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9.7, 9.8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решение, которое приходится принимать во время беременности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хочу продолжать или начать заниматься спортом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3.2, 3.10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допуска к нагрузкам; по оглавлению его ищут в «Физической активности», но здесь он стоит рядом с другими решениями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работаю и не знаю, что мне положено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8.10, 8.11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и вредные условия труда — частая ситуация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небезопасно дома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0.18; 10.13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ситуация безопасности</w:t>
            </w:r>
          </w:p>
        </w:tc>
      </w:tr>
    </w:tbl>
    <w:p>
      <w:pPr>
        <w:pStyle w:val="BodyText"/>
      </w:pPr>
      <w:r>
        <w:t xml:space="preserve">Итого: 14 строк плана (две объединены с добавленными) и 6 добавленных. Все внесены в</w:t>
      </w:r>
      <w:r>
        <w:t xml:space="preserve"> </w:t>
      </w:r>
      <w:r>
        <w:rPr>
          <w:rStyle w:val="VerbatimChar"/>
        </w:rPr>
        <w:t xml:space="preserve">draft.md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Сомнительная одна — № 18 (спорт):</w:t>
      </w:r>
      <w:r>
        <w:t xml:space="preserve"> </w:t>
      </w:r>
      <w:r>
        <w:t xml:space="preserve">это не «случилось» и не «предстоит», а обычный вопрос, который находится по оглавлению. Оставил, потому что по плану в приложении уже есть похожая строка о косметике. Решите — оставить или убрать.</w:t>
      </w:r>
    </w:p>
    <w:p>
      <w:r>
        <w:pict>
          <v:rect style="width:0;height:1.5pt" o:hralign="center" o:hrstd="t" o:hr="t"/>
        </w:pict>
      </w:r>
    </w:p>
    <w:bookmarkEnd w:id="33"/>
    <w:bookmarkStart w:id="34" w:name="остальные-вопросы-из-версии-1"/>
    <w:p>
      <w:pPr>
        <w:pStyle w:val="Heading2"/>
      </w:pPr>
      <w:r>
        <w:t xml:space="preserve">Остальные вопросы (из версии 1)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Приложение 5 в HTML</w:t>
      </w:r>
      <w:r>
        <w:t xml:space="preserve"> </w:t>
      </w:r>
      <w:r>
        <w:t xml:space="preserve">— таблица для печати или форма, которую можно заполнять на странице и сохранять. Решается вместе с быстрыми переходами.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Приложение 7 опирается на зарубежные источники</w:t>
      </w:r>
      <w:r>
        <w:t xml:space="preserve"> </w:t>
      </w:r>
      <w:r>
        <w:t xml:space="preserve">(MedlinePlus и ВОЗ). Если найдётся российская памятка о проверке медицинской информации — заменю.</w:t>
      </w:r>
    </w:p>
    <w:bookmarkEnd w:id="34"/>
    <w:bookmarkStart w:id="35" w:name="что-найти"/>
    <w:p>
      <w:pPr>
        <w:pStyle w:val="Heading2"/>
      </w:pPr>
      <w:r>
        <w:t xml:space="preserve">Что найти</w:t>
      </w:r>
    </w:p>
    <w:p>
      <w:pPr>
        <w:numPr>
          <w:ilvl w:val="0"/>
          <w:numId w:val="1008"/>
        </w:numPr>
        <w:pStyle w:val="Compact"/>
      </w:pPr>
      <w:r>
        <w:t xml:space="preserve">Российский источник о сыпи у беременной: памятка к КР «Корь у взрослых» или «Краснуха», либо памятка Роспотребнадзора с автором и датой. Запросы: «клинические рекомендации корь у взрослых приложение В информация для пациента»; «Роспотребнадзор памятка корь беременным сыпь что делать».</w:t>
      </w:r>
    </w:p>
    <w:p>
      <w:pPr>
        <w:numPr>
          <w:ilvl w:val="0"/>
          <w:numId w:val="1008"/>
        </w:numPr>
        <w:pStyle w:val="Compact"/>
      </w:pPr>
      <w:r>
        <w:t xml:space="preserve">Российская памятка о проверке медицинской информации в интернете. Запросы: «как проверить достоверность медицинской информации в интернете памятка Минздрав»; «ЦНИИОИЗ медицинская грамотность памятка».</w:t>
      </w:r>
    </w:p>
    <w:p>
      <w:pPr>
        <w:numPr>
          <w:ilvl w:val="0"/>
          <w:numId w:val="1008"/>
        </w:numPr>
        <w:pStyle w:val="Compact"/>
      </w:pPr>
      <w:r>
        <w:t xml:space="preserve">Первоисточник новости ВОЗ от 18.01.2024 об этике ИИ в медицине (сайт ВОЗ закрыт для машинной проверки, сверено по перепечатке HIFA). Если откроете страницу who.int, пришлите цитату о «false, inaccurate, biased, or incomplete statements».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2026-10-17T23:48:47Z</dcterms:created>
  <dcterms:modified xsi:type="dcterms:W3CDTF">2026-10-17T23:48:47Z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