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ехать сразу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4, 18.10.2026.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четыре уровня от планового приёма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Если у вас предлежание или врастание плаценты</w:t>
      </w:r>
      <w:r>
        <w:t xml:space="preserve">, при любом кровотечении, подтекании вод или начале схваток вызывайте скорую: так прямо советуют российские рекомендации для женщин с этим диагнозом.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97e91f4d1943c9d1f694ee2971e924b9dc7949f"/>
    <w:p>
      <w:pPr>
        <w:pStyle w:val="Heading2"/>
      </w:pPr>
      <w:r>
        <w:t xml:space="preserve">0.6. Отёк и боль одной ноги: почему ехать сразу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 сразу. 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обмороком, даже кратковременным.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8, раздел 8.14; Тема 11, раздел 11.6.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rPr>
          <w:bCs/>
          <w:b/>
        </w:rPr>
        <w:t xml:space="preserve">До приезда скорой</w:t>
      </w:r>
      <w:r>
        <w:t xml:space="preserve"> </w:t>
      </w:r>
      <w:r>
        <w:t xml:space="preserve">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давление, температура,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упаковки лекарств, которые принимаете,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4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</w:pPr>
      <w:r>
        <w:t xml:space="preserve">Минздрав России. Приказ от 20.06.2013 № 387н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</w:pPr>
      <w:r>
        <w:t xml:space="preserve">МЧС России.</w:t>
      </w:r>
      <w:r>
        <w:t xml:space="preserve"> </w:t>
      </w:r>
      <w:hyperlink r:id="rId43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8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(0.10, 0.15, 0.16).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(0.2).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(0.6, 0.7).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(0.6).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(0.13).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(0.13).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(0.15).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(0.17).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3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5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6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9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0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1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3" Type="http://schemas.openxmlformats.org/officeDocument/2006/relationships/hyperlink" Target="https://mchs.gov.ru/deyatelnost/bezopasnost-grazhdan/kak-pravilno-vyzvat-skoruyu_5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chs.gov.ru/deyatelnost/bezopasnost-grazhdan/kak-pravilno-vyzvat-skoruyu_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2026-10-18T20:36:00Z</dcterms:created>
  <dcterms:modified xsi:type="dcterms:W3CDTF">2026-10-18T20:36:00Z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