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2–5).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Как понимать медицинскую информацию</w:t>
      </w:r>
    </w:p>
    <w:p>
      <w:pPr>
        <w:numPr>
          <w:ilvl w:val="0"/>
          <w:numId w:val="1001"/>
        </w:numPr>
        <w:pStyle w:val="Compact"/>
      </w:pPr>
      <w:r>
        <w:t xml:space="preserve">Приложение 3. Как проверять медицинскую информацию в интернете</w:t>
      </w:r>
    </w:p>
    <w:p>
      <w:pPr>
        <w:numPr>
          <w:ilvl w:val="0"/>
          <w:numId w:val="1001"/>
        </w:numPr>
        <w:pStyle w:val="Compact"/>
      </w:pPr>
      <w:r>
        <w:t xml:space="preserve">Приложение 4.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2;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4</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50" w:name="X941d5f4642def1eac37707043d74df09cf9a56a"/>
    <w:p>
      <w:pPr>
        <w:pStyle w:val="Heading2"/>
      </w:pPr>
      <w:r>
        <w:t xml:space="preserve">Приложение 2.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и статьях, а также собрано всё о списке ваших лекарств и о том, как проверить лекарство. Найдите группу по тому, где вы встретили слово.</w:t>
      </w:r>
    </w:p>
    <w:bookmarkStart w:id="31" w:name="в-обменной-карте-и-заключении-врача"/>
    <w:p>
      <w:pPr>
        <w:pStyle w:val="Heading3"/>
      </w:pPr>
      <w:r>
        <w:t xml:space="preserve">В обменной карте и заключении врача</w:t>
      </w:r>
    </w:p>
    <w:bookmarkStart w:id="24"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4"/>
    <w:bookmarkStart w:id="25"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5"/>
    <w:bookmarkStart w:id="26"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6"/>
    <w:bookmarkStart w:id="27"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7"/>
    <w:bookmarkStart w:id="28"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28"/>
    <w:bookmarkStart w:id="29"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29"/>
    <w:bookmarkStart w:id="30"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30"/>
    <w:bookmarkEnd w:id="31"/>
    <w:bookmarkStart w:id="36" w:name="в-бланке-анализа-и-результате-узи"/>
    <w:p>
      <w:pPr>
        <w:pStyle w:val="Heading3"/>
      </w:pPr>
      <w:r>
        <w:t xml:space="preserve">В бланке анализа и результате УЗИ</w:t>
      </w:r>
    </w:p>
    <w:bookmarkStart w:id="32"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3"/>
    <w:bookmarkStart w:id="34"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4"/>
    <w:bookmarkStart w:id="35"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5"/>
    <w:bookmarkEnd w:id="36"/>
    <w:bookmarkStart w:id="43" w:name="лекарства-список-проверка-инструкция"/>
    <w:p>
      <w:pPr>
        <w:pStyle w:val="Heading3"/>
      </w:pPr>
      <w:r>
        <w:t xml:space="preserve">Лекарства: список, проверка, инструкция</w:t>
      </w:r>
    </w:p>
    <w:bookmarkStart w:id="37" w:name="X8a9d32359b9d76d1f57fd9d89dec7091dc4824d"/>
    <w:p>
      <w:pPr>
        <w:pStyle w:val="Heading4"/>
      </w:pPr>
      <w:r>
        <w:t xml:space="preserve">«Мои лекарства и добавки»: зачем вести список</w:t>
      </w:r>
    </w:p>
    <w:p>
      <w:pPr>
        <w:pStyle w:val="FirstParagraph"/>
      </w:pPr>
      <w:r>
        <w:rPr>
          <w:bCs/>
          <w:b/>
        </w:rPr>
        <w:t xml:space="preserve">Что это значит.</w:t>
      </w:r>
      <w:r>
        <w:t xml:space="preserve"> </w:t>
      </w:r>
      <w:r>
        <w:t xml:space="preserve">Список всего, что вы принимаете, помогает врачу сразу увидеть полную картину и заметить, если одно и то же вещество приходит из двух средств (Тема 7, раздел 7.3). Записывайте всё: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rPr>
          <w:bCs/>
          <w:b/>
        </w:rPr>
        <w:t xml:space="preserve">Что делать.</w:t>
      </w:r>
      <w:r>
        <w:t xml:space="preserve"> </w:t>
      </w:r>
      <w:r>
        <w:t xml:space="preserve">Распечатайте бланк, заполните его и держите вместе с обменной картой. 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bookmarkEnd w:id="37"/>
    <w:bookmarkStart w:id="38" w:name="X720f0221bcd5b44ddeb68521d7ec5ae1a045485"/>
    <w:p>
      <w:pPr>
        <w:pStyle w:val="Heading4"/>
      </w:pPr>
      <w:r>
        <w:t xml:space="preserve">После лекарства появилась нежелательная реакция</w:t>
      </w:r>
    </w:p>
    <w:p>
      <w:pPr>
        <w:pStyle w:val="FirstParagraph"/>
      </w:pPr>
      <w:r>
        <w:rPr>
          <w:bCs/>
          <w:b/>
        </w:rPr>
        <w:t xml:space="preserve">Что делать.</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bookmarkEnd w:id="38"/>
    <w:bookmarkStart w:id="39" w:name="как-проверить-лекарство"/>
    <w:p>
      <w:pPr>
        <w:pStyle w:val="Heading4"/>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 Этот блок повторяет Приложение 4, «Если хотите проверить сами».]</w:t>
      </w:r>
    </w:p>
    <w:bookmarkEnd w:id="39"/>
    <w:bookmarkStart w:id="40"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40"/>
    <w:bookmarkStart w:id="41"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41"/>
    <w:bookmarkStart w:id="42"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2"/>
    <w:bookmarkEnd w:id="43"/>
    <w:bookmarkStart w:id="49" w:name="в-статьях-и-новостях"/>
    <w:p>
      <w:pPr>
        <w:pStyle w:val="Heading3"/>
      </w:pPr>
      <w:r>
        <w:t xml:space="preserve">В статьях и новостях</w:t>
      </w:r>
    </w:p>
    <w:bookmarkStart w:id="44"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4"/>
    <w:bookmarkStart w:id="45"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bookmarkEnd w:id="45"/>
    <w:bookmarkStart w:id="46" w:name="Xedda6fa5a763c70bd0f606085b4d5a63905698a"/>
    <w:p>
      <w:pPr>
        <w:pStyle w:val="Heading4"/>
      </w:pPr>
      <w:r>
        <w:t xml:space="preserve">«Связано с»: значит ли это, что одно вызвало другое</w:t>
      </w:r>
    </w:p>
    <w:p>
      <w:pPr>
        <w:pStyle w:val="FirstParagraph"/>
      </w:pPr>
      <w:r>
        <w:rPr>
          <w:bCs/>
          <w:b/>
        </w:rPr>
        <w:t xml:space="preserve">Что это значит.</w:t>
      </w:r>
      <w:r>
        <w:t xml:space="preserve"> </w:t>
      </w:r>
      <w:r>
        <w:t xml:space="preserve">Не обязательно. Если два события случились одно за другим, первое не обязательно вызвало второе. Нужно знать, как часто то же самое бывает и без него. Например,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w:t>
      </w:r>
    </w:p>
    <w:p>
      <w:pPr>
        <w:pStyle w:val="BodyText"/>
      </w:pPr>
      <w:r>
        <w:rPr>
          <w:iCs/>
          <w:i/>
        </w:rPr>
        <w:t xml:space="preserve">Подробнее: Тема 7, раздел 7.16.</w:t>
      </w:r>
    </w:p>
    <w:bookmarkEnd w:id="46"/>
    <w:bookmarkStart w:id="47" w:name="риск-вырос-в-два-раза-много-это-или-мало"/>
    <w:p>
      <w:pPr>
        <w:pStyle w:val="Heading4"/>
      </w:pPr>
      <w:r>
        <w:t xml:space="preserve">«Риск вырос в два раза»: много это или мало</w:t>
      </w:r>
    </w:p>
    <w:p>
      <w:pPr>
        <w:pStyle w:val="FirstParagraph"/>
      </w:pPr>
      <w:r>
        <w:rPr>
          <w:bCs/>
          <w:b/>
        </w:rPr>
        <w:t xml:space="preserve">Что это значит.</w:t>
      </w:r>
      <w:r>
        <w:t xml:space="preserve"> </w:t>
      </w:r>
      <w:r>
        <w:t xml:space="preserve">Зависит от того, каким риск был сначала. Если он был один на десять тысяч, то в два раза больше — два на десять тысяч. Если он был один из ста — два из ста.</w:t>
      </w:r>
    </w:p>
    <w:p>
      <w:pPr>
        <w:pStyle w:val="BodyText"/>
      </w:pPr>
      <w:r>
        <w:rPr>
          <w:bCs/>
          <w:b/>
        </w:rPr>
        <w:t xml:space="preserve">Что делать.</w:t>
      </w:r>
      <w:r>
        <w:t xml:space="preserve"> </w:t>
      </w:r>
      <w:r>
        <w:t xml:space="preserve">Когда читаете «в два раза» или «на 50 %», ищите или спрашивайте, сколько это случаев на сто или на тысячу женщин.</w:t>
      </w:r>
    </w:p>
    <w:bookmarkEnd w:id="47"/>
    <w:bookmarkStart w:id="48" w:name="может-обычно-редко-как-их-читать"/>
    <w:p>
      <w:pPr>
        <w:pStyle w:val="Heading4"/>
      </w:pPr>
      <w:r>
        <w:t xml:space="preserve">«Может», «обычно», «редко»: как их читать</w:t>
      </w:r>
    </w:p>
    <w:p>
      <w:pPr>
        <w:pStyle w:val="FirstParagraph"/>
      </w:pPr>
      <w:r>
        <w:rPr>
          <w:bCs/>
          <w:b/>
        </w:rPr>
        <w:t xml:space="preserve">Что это значит.</w:t>
      </w:r>
      <w:r>
        <w:t xml:space="preserve"> </w:t>
      </w:r>
      <w:r>
        <w:t xml:space="preserve">В медицинских текстах эти слова выбирают точно. «Может вызывать» — так бывает, но не обязательно и не у всех. «Обычно» — в большинстве случаев, но бывают исключения. «Редко» — бывает, но нечасто. Не читайте «может» как «обязательно будет», а «обычно» — как «всегда».</w:t>
      </w:r>
    </w:p>
    <w:p>
      <w:pPr>
        <w:pStyle w:val="BodyText"/>
      </w:pPr>
      <w:r>
        <w:rPr>
          <w:iCs/>
          <w:i/>
        </w:rPr>
        <w:t xml:space="preserve">В HTML «Скачать бланк» и ссылки на сайты — кнопки (</w:t>
      </w:r>
      <w:r>
        <w:rPr>
          <w:rStyle w:val="VerbatimChar"/>
          <w:iCs/>
          <w:i/>
        </w:rPr>
        <w:t xml:space="preserve">editorial/html-navigaciya.md</w:t>
      </w:r>
      <w:r>
        <w:rPr>
          <w:iCs/>
          <w:i/>
        </w:rPr>
        <w:t xml:space="preserve">). В печатной книге вместо кнопки «Скачать» — бланк на отдельной странице.</w:t>
      </w:r>
    </w:p>
    <w:p>
      <w:r>
        <w:pict>
          <v:rect style="width:0;height:1.5pt" o:hralign="center" o:hrstd="t" o:hr="t"/>
        </w:pict>
      </w:r>
    </w:p>
    <w:bookmarkEnd w:id="48"/>
    <w:bookmarkEnd w:id="49"/>
    <w:bookmarkEnd w:id="50"/>
    <w:bookmarkStart w:id="55" w:name="Xb62fd9ba10e8ec62d6e5bd6aed64a9d3d272b4b"/>
    <w:p>
      <w:pPr>
        <w:pStyle w:val="Heading2"/>
      </w:pPr>
      <w:r>
        <w:t xml:space="preserve">Приложение 3.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51" w:name="где-искать"/>
    <w:p>
      <w:pPr>
        <w:pStyle w:val="Heading3"/>
      </w:pPr>
      <w:r>
        <w:t xml:space="preserve">Где искать</w:t>
      </w:r>
    </w:p>
    <w:p>
      <w:pPr>
        <w:numPr>
          <w:ilvl w:val="0"/>
          <w:numId w:val="1004"/>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2).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4"/>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4).</w:t>
      </w:r>
    </w:p>
    <w:p>
      <w:pPr>
        <w:numPr>
          <w:ilvl w:val="0"/>
          <w:numId w:val="1004"/>
        </w:numPr>
        <w:pStyle w:val="Compact"/>
      </w:pPr>
      <w:r>
        <w:rPr>
          <w:bCs/>
          <w:b/>
        </w:rPr>
        <w:t xml:space="preserve">Сайты Минздрава, государственных больниц и медицинских университетов.</w:t>
      </w:r>
    </w:p>
    <w:bookmarkEnd w:id="51"/>
    <w:bookmarkStart w:id="52" w:name="можно-ли-верить-тексту-четыре-вопроса"/>
    <w:p>
      <w:pPr>
        <w:pStyle w:val="Heading3"/>
      </w:pPr>
      <w:r>
        <w:t xml:space="preserve">Можно ли верить тексту: четыре вопроса</w:t>
      </w:r>
    </w:p>
    <w:p>
      <w:pPr>
        <w:numPr>
          <w:ilvl w:val="0"/>
          <w:numId w:val="1005"/>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5"/>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5"/>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5"/>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52"/>
    <w:bookmarkStart w:id="53"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6"/>
        </w:numPr>
        <w:pStyle w:val="Compact"/>
      </w:pPr>
      <w:r>
        <w:t xml:space="preserve">Копируйте запрос из книги целиком и впишите своё вместо пропусков.</w:t>
      </w:r>
    </w:p>
    <w:p>
      <w:pPr>
        <w:numPr>
          <w:ilvl w:val="0"/>
          <w:numId w:val="1006"/>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6"/>
        </w:numPr>
        <w:pStyle w:val="Compact"/>
      </w:pPr>
      <w:r>
        <w:t xml:space="preserve">Не вводите фамилию, номер полиса, фотографии документов: для ответа они не нужны.</w:t>
      </w:r>
    </w:p>
    <w:p>
      <w:pPr>
        <w:numPr>
          <w:ilvl w:val="0"/>
          <w:numId w:val="1006"/>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3"/>
    <w:bookmarkStart w:id="54"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4.</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4"/>
    <w:bookmarkEnd w:id="55"/>
    <w:bookmarkStart w:id="61" w:name="приложение-4.-как-проверить-лекарство"/>
    <w:p>
      <w:pPr>
        <w:pStyle w:val="Heading2"/>
      </w:pPr>
      <w:r>
        <w:t xml:space="preserve">Приложение 4.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6"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6"/>
    <w:bookmarkStart w:id="57"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7"/>
    <w:bookmarkStart w:id="58"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7"/>
        </w:numPr>
        <w:pStyle w:val="Compact"/>
      </w:pPr>
      <w:r>
        <w:t xml:space="preserve">что будет, если не принимать;</w:t>
      </w:r>
    </w:p>
    <w:p>
      <w:pPr>
        <w:numPr>
          <w:ilvl w:val="0"/>
          <w:numId w:val="1007"/>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2).</w:t>
      </w:r>
    </w:p>
    <w:bookmarkEnd w:id="58"/>
    <w:bookmarkStart w:id="59" w:name="если-лекарство-уже-приняли"/>
    <w:p>
      <w:pPr>
        <w:pStyle w:val="Heading3"/>
      </w:pPr>
      <w:r>
        <w:t xml:space="preserve">Если лекарство уже приняли</w:t>
      </w:r>
    </w:p>
    <w:p>
      <w:pPr>
        <w:numPr>
          <w:ilvl w:val="0"/>
          <w:numId w:val="1008"/>
        </w:numPr>
        <w:pStyle w:val="Compact"/>
      </w:pPr>
      <w:r>
        <w:t xml:space="preserve">Ничего не «компенсируйте»: не пейте много воды, не вызывайте рвоту, не принимайте сорбенты.</w:t>
      </w:r>
    </w:p>
    <w:p>
      <w:pPr>
        <w:numPr>
          <w:ilvl w:val="0"/>
          <w:numId w:val="1008"/>
        </w:numPr>
        <w:pStyle w:val="Compact"/>
      </w:pPr>
      <w:r>
        <w:t xml:space="preserve">Не бросайте лекарство, которое назначил врач.</w:t>
      </w:r>
    </w:p>
    <w:p>
      <w:pPr>
        <w:numPr>
          <w:ilvl w:val="0"/>
          <w:numId w:val="1008"/>
        </w:numPr>
        <w:pStyle w:val="Compact"/>
      </w:pPr>
      <w:r>
        <w:t xml:space="preserve">Запишите, что приняли, сколько, когда и на каком сроке. Сохраните упаковку или сфотографируйте её.</w:t>
      </w:r>
    </w:p>
    <w:p>
      <w:pPr>
        <w:numPr>
          <w:ilvl w:val="0"/>
          <w:numId w:val="1008"/>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8"/>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9"/>
    <w:bookmarkStart w:id="60" w:name="если-хотите-проверить-сами"/>
    <w:p>
      <w:pPr>
        <w:pStyle w:val="Heading3"/>
      </w:pPr>
      <w:r>
        <w:t xml:space="preserve">Если хотите проверить сами</w:t>
      </w:r>
    </w:p>
    <w:p>
      <w:pPr>
        <w:numPr>
          <w:ilvl w:val="0"/>
          <w:numId w:val="1009"/>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9"/>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9"/>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9"/>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60"/>
    <w:bookmarkEnd w:id="61"/>
    <w:bookmarkStart w:id="70"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2), как проверять информацию и спрашивать ИИ (Приложение 3), ресурсы проверки лекарств (Приложения 2 и 4).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0"/>
        </w:numPr>
        <w:pStyle w:val="Compact"/>
      </w:pPr>
      <w:r>
        <w:t xml:space="preserve">National Library of Medicine (США), MedlinePlus.</w:t>
      </w:r>
      <w:r>
        <w:t xml:space="preserve"> </w:t>
      </w:r>
      <w:hyperlink r:id="rId62">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3, «Можно ли верить тексту: четыре вопроса»).</w:t>
      </w:r>
    </w:p>
    <w:p>
      <w:pPr>
        <w:numPr>
          <w:ilvl w:val="0"/>
          <w:numId w:val="1010"/>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3,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0"/>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3, «Где искать»).</w:t>
      </w:r>
      <w:r>
        <w:t xml:space="preserve"> </w:t>
      </w:r>
      <w:hyperlink r:id="rId63">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0"/>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(Приложения 2 и 4).</w:t>
      </w:r>
      <w:r>
        <w:t xml:space="preserve"> </w:t>
      </w:r>
      <w:hyperlink r:id="rId64">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(Приложения 2 и 4).</w:t>
      </w:r>
      <w:r>
        <w:t xml:space="preserve"> </w:t>
      </w:r>
      <w:r>
        <w:rPr>
          <w:iCs/>
          <w:i/>
        </w:rPr>
        <w:t xml:space="preserve">ГРЛС закрыт для машинной проверки; порядок работы сверен по пересказу.</w:t>
      </w:r>
    </w:p>
    <w:p>
      <w:pPr>
        <w:numPr>
          <w:ilvl w:val="0"/>
          <w:numId w:val="1010"/>
        </w:numPr>
        <w:pStyle w:val="Compact"/>
      </w:pPr>
      <w:r>
        <w:t xml:space="preserve">Росздравнадзор.</w:t>
      </w:r>
      <w:r>
        <w:t xml:space="preserve"> </w:t>
      </w:r>
      <w:hyperlink r:id="rId65">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(Приложения 2 и 4).</w:t>
      </w:r>
      <w:r>
        <w:t xml:space="preserve"> </w:t>
      </w:r>
      <w:r>
        <w:rPr>
          <w:iCs/>
          <w:i/>
        </w:rPr>
        <w:t xml:space="preserve">Даты обновления данных на странице нет.</w:t>
      </w:r>
    </w:p>
    <w:p>
      <w:pPr>
        <w:numPr>
          <w:ilvl w:val="0"/>
          <w:numId w:val="1010"/>
        </w:numPr>
        <w:pStyle w:val="Compact"/>
      </w:pPr>
      <w:r>
        <w:t xml:space="preserve">Росздравнадзор.</w:t>
      </w:r>
      <w:r>
        <w:t xml:space="preserve"> </w:t>
      </w:r>
      <w:hyperlink r:id="rId66">
        <w:r>
          <w:rPr>
            <w:rStyle w:val="Hyperlink"/>
          </w:rPr>
          <w:t xml:space="preserve">Единый реестр лицензий</w:t>
        </w:r>
      </w:hyperlink>
      <w:r>
        <w:t xml:space="preserve"> </w:t>
      </w:r>
      <w:r>
        <w:t xml:space="preserve">— поиск организации по названию, ИНН, ОГРН (Приложения 2 и 4).</w:t>
      </w:r>
    </w:p>
    <w:p>
      <w:pPr>
        <w:numPr>
          <w:ilvl w:val="0"/>
          <w:numId w:val="1010"/>
        </w:numPr>
        <w:pStyle w:val="Compact"/>
      </w:pPr>
      <w:r>
        <w:t xml:space="preserve">Оператор системы маркировки «Честный знак» (ООО «Оператор-ЦРПТ»).</w:t>
      </w:r>
      <w:r>
        <w:t xml:space="preserve"> </w:t>
      </w:r>
      <w:hyperlink r:id="rId67">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(Приложения 2 и 4).</w:t>
      </w:r>
      <w:r>
        <w:t xml:space="preserve"> </w:t>
      </w:r>
      <w:r>
        <w:rPr>
          <w:iCs/>
          <w:i/>
        </w:rPr>
        <w:t xml:space="preserve">Главная страница и сайт оператора для машинной проверки не открылись.</w:t>
      </w:r>
    </w:p>
    <w:p>
      <w:pPr>
        <w:numPr>
          <w:ilvl w:val="0"/>
          <w:numId w:val="1010"/>
        </w:numPr>
        <w:pStyle w:val="Compact"/>
      </w:pPr>
      <w:r>
        <w:t xml:space="preserve">Росздравнадзор.</w:t>
      </w:r>
      <w:r>
        <w:t xml:space="preserve"> </w:t>
      </w:r>
      <w:hyperlink r:id="rId68">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(Приложения 2 и 4).</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0"/>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2);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2,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0"/>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9">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hyperlink" Target="https://cr.minzdrav.gov.ru/" TargetMode="External"/><Relationship Id="rId64" Type="http://schemas.openxmlformats.org/officeDocument/2006/relationships/hyperlink" Target="https://grls.rosminzdrav.ru/" TargetMode="External"/><Relationship Id="rId62" Type="http://schemas.openxmlformats.org/officeDocument/2006/relationships/hyperlink" Target="https://medlineplus.gov/evaluatinghealthinformation.html" TargetMode="External"/><Relationship Id="rId69" Type="http://schemas.openxmlformats.org/officeDocument/2006/relationships/hyperlink" Target="https://pravo.ppt.ru/klinicheskie-rekomendatsii/302353" TargetMode="External"/><Relationship Id="rId68" Type="http://schemas.openxmlformats.org/officeDocument/2006/relationships/hyperlink" Target="https://roszdravnadzor.gov.ru/drugs/monitpringlp/faq/c1012/25" TargetMode="External"/><Relationship Id="rId66" Type="http://schemas.openxmlformats.org/officeDocument/2006/relationships/hyperlink" Target="https://roszdravnadzor.gov.ru/services/licenses" TargetMode="External"/><Relationship Id="rId65" Type="http://schemas.openxmlformats.org/officeDocument/2006/relationships/hyperlink" Target="https://roszdravnadzor.gov.ru/services/lssearch" TargetMode="External"/><Relationship Id="rId67"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63" Type="http://schemas.openxmlformats.org/officeDocument/2006/relationships/hyperlink" Target="https://cr.minzdrav.gov.ru/" TargetMode="External"/><Relationship Id="rId64" Type="http://schemas.openxmlformats.org/officeDocument/2006/relationships/hyperlink" Target="https://grls.rosminzdrav.ru/" TargetMode="External"/><Relationship Id="rId62" Type="http://schemas.openxmlformats.org/officeDocument/2006/relationships/hyperlink" Target="https://medlineplus.gov/evaluatinghealthinformation.html" TargetMode="External"/><Relationship Id="rId69" Type="http://schemas.openxmlformats.org/officeDocument/2006/relationships/hyperlink" Target="https://pravo.ppt.ru/klinicheskie-rekomendatsii/302353" TargetMode="External"/><Relationship Id="rId68" Type="http://schemas.openxmlformats.org/officeDocument/2006/relationships/hyperlink" Target="https://roszdravnadzor.gov.ru/drugs/monitpringlp/faq/c1012/25" TargetMode="External"/><Relationship Id="rId66" Type="http://schemas.openxmlformats.org/officeDocument/2006/relationships/hyperlink" Target="https://roszdravnadzor.gov.ru/services/licenses" TargetMode="External"/><Relationship Id="rId65" Type="http://schemas.openxmlformats.org/officeDocument/2006/relationships/hyperlink" Target="https://roszdravnadzor.gov.ru/services/lssearch" TargetMode="External"/><Relationship Id="rId67"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2026-10-20T12:41:15Z</dcterms:created>
  <dcterms:modified xsi:type="dcterms:W3CDTF">2026-10-20T12:41:15Z</dcterms:modified>
</cp:coreProperties>
</file>

<file path=docProps/custom.xml><?xml version="1.0" encoding="utf-8"?>
<Properties xmlns="http://schemas.openxmlformats.org/officeDocument/2006/custom-properties" xmlns:vt="http://schemas.openxmlformats.org/officeDocument/2006/docPropsVTypes"/>
</file>