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приложения-к-книге-гигиена-беременности"/>
    <w:p>
      <w:pPr>
        <w:pStyle w:val="Heading1"/>
      </w:pPr>
      <w:r>
        <w:t xml:space="preserve">Приложения к книге «Гигиена беременности»</w:t>
      </w:r>
    </w:p>
    <w:p>
      <w:pPr>
        <w:pStyle w:val="FirstParagraph"/>
      </w:pPr>
      <w:r>
        <w:rPr>
          <w:iCs/>
          <w:i/>
        </w:rPr>
        <w:t xml:space="preserve">Версия для врача-рецензента, 20.10.2026. Приложения переработаны после первой сборки; ниже — их текущий текст. Пометки</w:t>
      </w:r>
      <w:r>
        <w:rPr>
          <w:iCs/>
          <w:i/>
        </w:rPr>
        <w:t xml:space="preserve"> </w:t>
      </w:r>
      <w:r>
        <w:rPr>
          <w:rStyle w:val="VerbatimChar"/>
          <w:iCs/>
          <w:i/>
          <w:highlight w:val="yellow"/>
        </w:rPr>
        <w:t xml:space="preserve">[ПРОВЕРИТЬ]</w:t>
      </w:r>
      <w:r>
        <w:rPr>
          <w:iCs/>
          <w:i/>
        </w:rPr>
        <w:t xml:space="preserve"> </w:t>
      </w:r>
      <w:r>
        <w:rPr>
          <w:iCs/>
          <w:i/>
        </w:rPr>
        <w:t xml:space="preserve">выделены жёлтым. В электронной версии книги приложения будут интерактивными (плитки, раскрывающиеся статьи, кнопки); здесь — текст целиком.</w:t>
      </w:r>
    </w:p>
    <w:p>
      <w:pPr>
        <w:pStyle w:val="BodyText"/>
      </w:pPr>
      <w:r>
        <w:rPr>
          <w:iCs/>
          <w:i/>
        </w:rPr>
        <w:t xml:space="preserve">Приложение 1 «Навигатор» по решению автора будет объединено с Разделом 0 «Быстрая помощь» — содержание строк сохранится, поэтому его стоит проверить уже сейчас.</w:t>
      </w:r>
    </w:p>
    <w:bookmarkStart w:id="20" w:name="вопросы-врачу"/>
    <w:p>
      <w:pPr>
        <w:pStyle w:val="Heading2"/>
      </w:pPr>
      <w:r>
        <w:t xml:space="preserve">Вопросы врачу</w:t>
      </w:r>
    </w:p>
    <w:p>
      <w:pPr>
        <w:numPr>
          <w:ilvl w:val="0"/>
          <w:numId w:val="1001"/>
        </w:numPr>
        <w:pStyle w:val="Compact"/>
      </w:pPr>
      <w:r>
        <w:rPr>
          <w:bCs/>
          <w:b/>
        </w:rPr>
        <w:t xml:space="preserve">Схватки после 37 недель (Приложение 1).</w:t>
      </w:r>
      <w:r>
        <w:t xml:space="preserve"> </w:t>
      </w:r>
      <w:r>
        <w:t xml:space="preserve">Правило «схватки регулярные, каждые 5 минут, дольше часа — поезжайте в роддом» выведено автором из определения начала родов в клинических рекомендациях «Нормальные роды» (2024, раздел 1.6); памятки для пациентки с таким правилом не найдено. Верно ли так советовать?</w:t>
      </w:r>
    </w:p>
    <w:p>
      <w:pPr>
        <w:numPr>
          <w:ilvl w:val="0"/>
          <w:numId w:val="1001"/>
        </w:numPr>
        <w:pStyle w:val="Compact"/>
      </w:pPr>
      <w:r>
        <w:rPr>
          <w:bCs/>
          <w:b/>
        </w:rPr>
        <w:t xml:space="preserve">Приложение 1 следует Разделу 0 там, где Раздел 0 и Тема 11 расходятся:</w:t>
      </w:r>
      <w:r>
        <w:t xml:space="preserve"> </w:t>
      </w:r>
      <w:r>
        <w:t xml:space="preserve">рвота, впервые появившаяся или усилившаяся после 20 недель (Раздел 0 — срочно сама по себе, Тема 11 — вместе с головной болью и другими признаками); внезапный отёк лица и кистей (Раздел 0 — срочно, Тема 11 — позвонить в тот же день); падение без жалоб (Раздел 0 — в роддом сразу, Тема 11 — позвонить раньше приёма). Какой вариант верен?</w:t>
      </w:r>
    </w:p>
    <w:p>
      <w:pPr>
        <w:numPr>
          <w:ilvl w:val="0"/>
          <w:numId w:val="1001"/>
        </w:numPr>
        <w:pStyle w:val="Compact"/>
      </w:pPr>
      <w:r>
        <w:rPr>
          <w:bCs/>
          <w:b/>
        </w:rPr>
        <w:t xml:space="preserve">Столбец «Позвонить врачу раньше приёма» (Приложение 1).</w:t>
      </w:r>
      <w:r>
        <w:t xml:space="preserve"> </w:t>
      </w:r>
      <w:r>
        <w:t xml:space="preserve">Условия и сроки («в тот же день», «сегодня или завтра») назначены автором по Темам 5, 6, 7, 9, 11 и клиническим рекомендациям «Нормальная беременность» (памятка говорит «обратиться к врачу» без срока). Согласны ли вы с уровнями?</w:t>
      </w:r>
    </w:p>
    <w:p>
      <w:pPr>
        <w:numPr>
          <w:ilvl w:val="0"/>
          <w:numId w:val="1001"/>
        </w:numPr>
        <w:pStyle w:val="Compact"/>
      </w:pPr>
      <w:r>
        <w:rPr>
          <w:bCs/>
          <w:b/>
        </w:rPr>
        <w:t xml:space="preserve">«Тянет низ живота» (Приложение 1).</w:t>
      </w:r>
      <w:r>
        <w:t xml:space="preserve"> </w:t>
      </w:r>
      <w:r>
        <w:t xml:space="preserve">Уровень «позвонить врачу сегодня или завтра, если тянет несильно и проходит в покое» взят из Раздела 0 (пункт 0.4) и Темы 11; кратковременное напряжение матки, которое проходит в покое за 15–20 минут, срочного обращения не требует (Тема 4, раздел 4.8). Верно ли это разграничение?</w:t>
      </w:r>
    </w:p>
    <w:p>
      <w:pPr>
        <w:numPr>
          <w:ilvl w:val="0"/>
          <w:numId w:val="1001"/>
        </w:numPr>
        <w:pStyle w:val="Compact"/>
      </w:pPr>
      <w:r>
        <w:rPr>
          <w:bCs/>
          <w:b/>
        </w:rPr>
        <w:t xml:space="preserve">Бланк «Мои лекарства и добавки» и «Как проверить лекарство» (Приложение 2, группа «Лекарства»).</w:t>
      </w:r>
      <w:r>
        <w:t xml:space="preserve"> </w:t>
      </w:r>
      <w:r>
        <w:t xml:space="preserve">Какие столбцы бланка и пункты проверки нужны беременной, какие избыточны?</w:t>
      </w:r>
    </w:p>
    <w:p>
      <w:pPr>
        <w:numPr>
          <w:ilvl w:val="0"/>
          <w:numId w:val="1001"/>
        </w:numPr>
        <w:pStyle w:val="Compact"/>
      </w:pPr>
      <w:r>
        <w:rPr>
          <w:bCs/>
          <w:b/>
        </w:rPr>
        <w:t xml:space="preserve">Нежелательная реакция на лекарство (Приложение 2).</w:t>
      </w:r>
      <w:r>
        <w:t xml:space="preserve"> </w:t>
      </w:r>
      <w:r>
        <w:t xml:space="preserve">Оставлен только совет при тяжёлой реакции (отёк лица или горла, трудно дышать — скорая). Нужен ли совет на случай лёгкой реакции (например, сыпь без отёка)?</w:t>
      </w:r>
    </w:p>
    <w:p>
      <w:pPr>
        <w:numPr>
          <w:ilvl w:val="0"/>
          <w:numId w:val="1001"/>
        </w:numPr>
        <w:pStyle w:val="Compact"/>
      </w:pPr>
      <w:r>
        <w:rPr>
          <w:bCs/>
          <w:b/>
        </w:rPr>
        <w:t xml:space="preserve">Определения в Приложении 2, группа «В обменной карте и заключении врача».</w:t>
      </w:r>
      <w:r>
        <w:t xml:space="preserve"> </w:t>
      </w:r>
      <w:r>
        <w:t xml:space="preserve">Верны ли и достаточны ли простые определения (анамнез, жалоба/симптом/диагноз, показания, острый/хронический, экстренная/неотложная/плановая помощь, амбулаторно/стационар)? Фраза «у разных лабораторий границы нормы могут немного отличаться» дана без источника.</w:t>
      </w:r>
    </w:p>
    <w:p>
      <w:pPr>
        <w:numPr>
          <w:ilvl w:val="0"/>
          <w:numId w:val="1001"/>
        </w:numPr>
        <w:pStyle w:val="Compact"/>
      </w:pPr>
      <w:r>
        <w:rPr>
          <w:bCs/>
          <w:b/>
        </w:rPr>
        <w:t xml:space="preserve">Запросы для искусственного интеллекта (Приложения 2 и 3).</w:t>
      </w:r>
      <w:r>
        <w:t xml:space="preserve"> </w:t>
      </w:r>
      <w:r>
        <w:t xml:space="preserve">Достаточно ли ограничений в запросах, особенно в запросе «Симптом»? Запросы ещё не проверены в реальных чат-ботах — проверка запланирована до публикации.</w:t>
      </w:r>
    </w:p>
    <w:bookmarkEnd w:id="20"/>
    <w:bookmarkStart w:id="21" w:name="оглавление"/>
    <w:p>
      <w:pPr>
        <w:pStyle w:val="Heading2"/>
      </w:pPr>
      <w:r>
        <w:t xml:space="preserve">Оглавление</w:t>
      </w:r>
    </w:p>
    <w:p>
      <w:pPr>
        <w:numPr>
          <w:ilvl w:val="0"/>
          <w:numId w:val="1002"/>
        </w:numPr>
        <w:pStyle w:val="Compact"/>
      </w:pPr>
      <w:r>
        <w:t xml:space="preserve">Приложение 1. Навигатор: что вы заметили и что случилось</w:t>
      </w:r>
    </w:p>
    <w:p>
      <w:pPr>
        <w:numPr>
          <w:ilvl w:val="0"/>
          <w:numId w:val="1002"/>
        </w:numPr>
        <w:pStyle w:val="Compact"/>
      </w:pPr>
      <w:r>
        <w:t xml:space="preserve">Приложение 2. Как понимать медицинскую информацию</w:t>
      </w:r>
    </w:p>
    <w:p>
      <w:pPr>
        <w:numPr>
          <w:ilvl w:val="0"/>
          <w:numId w:val="1002"/>
        </w:numPr>
        <w:pStyle w:val="Compact"/>
      </w:pPr>
      <w:r>
        <w:t xml:space="preserve">Приложение 3. Как проверять медицинскую информацию в интернете</w:t>
      </w:r>
    </w:p>
    <w:p>
      <w:pPr>
        <w:numPr>
          <w:ilvl w:val="0"/>
          <w:numId w:val="1002"/>
        </w:numPr>
        <w:pStyle w:val="Compact"/>
      </w:pPr>
      <w:r>
        <w:t xml:space="preserve">Клинические и научные источники</w:t>
      </w:r>
    </w:p>
    <w:p>
      <w:r>
        <w:pict>
          <v:rect style="width:0;height:1.5pt" o:hralign="center" o:hrstd="t" o:hr="t"/>
        </w:pict>
      </w:r>
    </w:p>
    <w:bookmarkEnd w:id="21"/>
    <w:bookmarkStart w:id="24"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2"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Тема 4, раздел 4.8</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2"/>
    <w:bookmarkStart w:id="23"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2</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3"/>
    <w:bookmarkEnd w:id="24"/>
    <w:bookmarkStart w:id="52"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статьях и новостях, а также собрано всё о списке ваших лекарств и о том, как проверить лекарство. Найдите группу по тому, где вы встретили слово.</w:t>
      </w:r>
    </w:p>
    <w:bookmarkStart w:id="32" w:name="в-обменной-карте-и-заключении-врача"/>
    <w:p>
      <w:pPr>
        <w:pStyle w:val="Heading3"/>
      </w:pPr>
      <w:r>
        <w:t xml:space="preserve">В обменной карте и заключении врача</w:t>
      </w:r>
    </w:p>
    <w:bookmarkStart w:id="25"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5"/>
    <w:bookmarkStart w:id="26"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6"/>
    <w:bookmarkStart w:id="27"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7"/>
    <w:bookmarkStart w:id="28"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8"/>
    <w:bookmarkStart w:id="29"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9"/>
    <w:bookmarkStart w:id="30"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30"/>
    <w:bookmarkStart w:id="31"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1"/>
    <w:bookmarkEnd w:id="32"/>
    <w:bookmarkStart w:id="37" w:name="в-бланке-анализа-и-результате-узи"/>
    <w:p>
      <w:pPr>
        <w:pStyle w:val="Heading3"/>
      </w:pPr>
      <w:r>
        <w:t xml:space="preserve">В бланке анализа и результате УЗИ</w:t>
      </w:r>
    </w:p>
    <w:bookmarkStart w:id="33"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3"/>
    <w:bookmarkStart w:id="34"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4"/>
    <w:bookmarkStart w:id="35"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5"/>
    <w:bookmarkStart w:id="36"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6"/>
    <w:bookmarkEnd w:id="37"/>
    <w:bookmarkStart w:id="46"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r>
        <w:t xml:space="preserve"> </w:t>
      </w:r>
      <w:r>
        <w:t xml:space="preserve">отекают лицо или горло, трудно дышать — звоните 103 или 112.</w:t>
      </w:r>
    </w:p>
    <w:bookmarkStart w:id="38"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3"/>
        </w:numPr>
        <w:pStyle w:val="Compact"/>
      </w:pPr>
      <w:r>
        <w:rPr>
          <w:bCs/>
          <w:b/>
        </w:rPr>
        <w:t xml:space="preserve">Название на коробке</w:t>
      </w:r>
      <w:r>
        <w:t xml:space="preserve"> </w:t>
      </w:r>
      <w:r>
        <w:t xml:space="preserve">— как написано крупно.</w:t>
      </w:r>
    </w:p>
    <w:p>
      <w:pPr>
        <w:numPr>
          <w:ilvl w:val="0"/>
          <w:numId w:val="1003"/>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3"/>
        </w:numPr>
        <w:pStyle w:val="Compact"/>
      </w:pPr>
      <w:r>
        <w:rPr>
          <w:bCs/>
          <w:b/>
        </w:rPr>
        <w:t xml:space="preserve">От чего</w:t>
      </w:r>
      <w:r>
        <w:t xml:space="preserve"> </w:t>
      </w:r>
      <w:r>
        <w:t xml:space="preserve">— зачем вы это принимаете.</w:t>
      </w:r>
    </w:p>
    <w:p>
      <w:pPr>
        <w:numPr>
          <w:ilvl w:val="0"/>
          <w:numId w:val="1003"/>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3"/>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3"/>
        </w:numPr>
        <w:pStyle w:val="Compact"/>
      </w:pPr>
      <w:r>
        <w:rPr>
          <w:bCs/>
          <w:b/>
        </w:rPr>
        <w:t xml:space="preserve">С какого числа.</w:t>
      </w:r>
    </w:p>
    <w:p>
      <w:pPr>
        <w:numPr>
          <w:ilvl w:val="0"/>
          <w:numId w:val="1003"/>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Бланк для печати</w:t>
      </w:r>
      <w:r>
        <w:t xml:space="preserve"> </w:t>
      </w:r>
      <w:r>
        <w:t xml:space="preserve">— приложен отдельным файлом (А4, горизонтально).</w:t>
      </w:r>
    </w:p>
    <w:bookmarkEnd w:id="38"/>
    <w:bookmarkStart w:id="39" w:name="как-проверить-лекарство"/>
    <w:p>
      <w:pPr>
        <w:pStyle w:val="Heading4"/>
      </w:pPr>
      <w:r>
        <w:t xml:space="preserve">Как проверить лекарство</w:t>
      </w:r>
    </w:p>
    <w:p>
      <w:pPr>
        <w:numPr>
          <w:ilvl w:val="0"/>
          <w:numId w:val="1004"/>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4"/>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4"/>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4"/>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w:t>
      </w:r>
    </w:p>
    <w:bookmarkEnd w:id="39"/>
    <w:bookmarkStart w:id="40" w:name="как-спросить-врача-о-лекарстве"/>
    <w:p>
      <w:pPr>
        <w:pStyle w:val="Heading4"/>
      </w:pPr>
      <w:r>
        <w:t xml:space="preserve">Как спросить врача о лекарстве</w:t>
      </w:r>
    </w:p>
    <w:p>
      <w:pPr>
        <w:pStyle w:val="FirstParagraph"/>
      </w:pPr>
      <w:r>
        <w:rPr>
          <w:bCs/>
          <w:b/>
        </w:rPr>
        <w:t xml:space="preserve">Что делать.</w:t>
      </w:r>
      <w:r>
        <w:t xml:space="preserve"> </w:t>
      </w: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5"/>
        </w:numPr>
        <w:pStyle w:val="Compact"/>
      </w:pPr>
      <w:r>
        <w:t xml:space="preserve">что будет, если не принимать;</w:t>
      </w:r>
    </w:p>
    <w:p>
      <w:pPr>
        <w:numPr>
          <w:ilvl w:val="0"/>
          <w:numId w:val="1005"/>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w:t>
      </w:r>
    </w:p>
    <w:p>
      <w:pPr>
        <w:pStyle w:val="BodyText"/>
      </w:pPr>
      <w:r>
        <w:rPr>
          <w:iCs/>
          <w:i/>
        </w:rPr>
        <w:t xml:space="preserve">Подробнее: Тема 7, раздел 7.17.</w:t>
      </w:r>
    </w:p>
    <w:bookmarkEnd w:id="40"/>
    <w:bookmarkStart w:id="41" w:name="если-лекарство-уже-приняли"/>
    <w:p>
      <w:pPr>
        <w:pStyle w:val="Heading4"/>
      </w:pPr>
      <w:r>
        <w:t xml:space="preserve">Если лекарство уже приняли</w:t>
      </w:r>
    </w:p>
    <w:p>
      <w:pPr>
        <w:pStyle w:val="FirstParagraph"/>
      </w:pPr>
      <w:r>
        <w:rPr>
          <w:bCs/>
          <w:b/>
        </w:rPr>
        <w:t xml:space="preserve">Что делать.</w:t>
      </w:r>
    </w:p>
    <w:p>
      <w:pPr>
        <w:numPr>
          <w:ilvl w:val="0"/>
          <w:numId w:val="1006"/>
        </w:numPr>
        <w:pStyle w:val="Compact"/>
      </w:pPr>
      <w:r>
        <w:t xml:space="preserve">Ничего не «компенсируйте»: не пейте много воды, не вызывайте рвоту, не принимайте сорбенты.</w:t>
      </w:r>
    </w:p>
    <w:p>
      <w:pPr>
        <w:numPr>
          <w:ilvl w:val="0"/>
          <w:numId w:val="1006"/>
        </w:numPr>
        <w:pStyle w:val="Compact"/>
      </w:pPr>
      <w:r>
        <w:t xml:space="preserve">Не бросайте лекарство, которое назначил врач.</w:t>
      </w:r>
    </w:p>
    <w:p>
      <w:pPr>
        <w:numPr>
          <w:ilvl w:val="0"/>
          <w:numId w:val="1006"/>
        </w:numPr>
        <w:pStyle w:val="Compact"/>
      </w:pPr>
      <w:r>
        <w:t xml:space="preserve">Запишите, что приняли, сколько, когда и на каком сроке. Сохраните упаковку или сфотографируйте её.</w:t>
      </w:r>
    </w:p>
    <w:p>
      <w:pPr>
        <w:numPr>
          <w:ilvl w:val="0"/>
          <w:numId w:val="1006"/>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6"/>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rPr>
          <w:bCs/>
          <w:b/>
        </w:rPr>
        <w:t xml:space="preserve">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iCs/>
          <w:i/>
        </w:rPr>
        <w:t xml:space="preserve">Подробнее: Тема 7, раздел 7.16.</w:t>
      </w:r>
    </w:p>
    <w:bookmarkEnd w:id="41"/>
    <w:bookmarkStart w:id="42"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42"/>
    <w:bookmarkStart w:id="43"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3"/>
    <w:bookmarkStart w:id="44"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4"/>
    <w:bookmarkStart w:id="45" w:name="натуральное-значит-ли-это-что-безопасно"/>
    <w:p>
      <w:pPr>
        <w:pStyle w:val="Heading4"/>
      </w:pPr>
      <w:r>
        <w:t xml:space="preserve">«Натуральное»: значит ли это, что безопасно</w:t>
      </w:r>
    </w:p>
    <w:p>
      <w:pPr>
        <w:pStyle w:val="FirstParagraph"/>
      </w:pPr>
      <w:r>
        <w:rPr>
          <w:bCs/>
          <w:b/>
        </w:rPr>
        <w:t xml:space="preserve">Что это значит.</w:t>
      </w:r>
      <w:r>
        <w:t xml:space="preserve"> </w:t>
      </w:r>
      <w:r>
        <w:t xml:space="preserve">Нет. Растение — это набор действующих веществ в неизвестной концентрации. У лекарства доза стандартная и проверенная, а в травяном сборе количество вещества зависит от сырья, места и времени сбора, способа заваривания. Бывает, что в средстве находят вещество, которого там быть не должно.</w:t>
      </w:r>
    </w:p>
    <w:p>
      <w:pPr>
        <w:pStyle w:val="BodyText"/>
      </w:pPr>
      <w:r>
        <w:rPr>
          <w:bCs/>
          <w:b/>
        </w:rPr>
        <w:t xml:space="preserve">Что делать.</w:t>
      </w:r>
      <w:r>
        <w:t xml:space="preserve"> </w:t>
      </w:r>
      <w:r>
        <w:t xml:space="preserve">Травы, чаи и добавки обсуждайте с врачом так же, как лекарства, и записывайте их в свой список лекарств.</w:t>
      </w:r>
    </w:p>
    <w:p>
      <w:pPr>
        <w:pStyle w:val="BodyText"/>
      </w:pPr>
      <w:r>
        <w:rPr>
          <w:iCs/>
          <w:i/>
        </w:rPr>
        <w:t xml:space="preserve">Подробнее: Тема 7, раздел 7.12.</w:t>
      </w:r>
    </w:p>
    <w:bookmarkEnd w:id="45"/>
    <w:bookmarkEnd w:id="46"/>
    <w:bookmarkStart w:id="51" w:name="исследования-рекомендации-фактор-риска"/>
    <w:p>
      <w:pPr>
        <w:pStyle w:val="Heading3"/>
      </w:pPr>
      <w:r>
        <w:t xml:space="preserve">Исследования, рекомендации, фактор риска</w:t>
      </w:r>
    </w:p>
    <w:bookmarkStart w:id="47"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а одобряет научно-практический совет Минздрава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7"/>
    <w:bookmarkStart w:id="48" w:name="X7b8acd29e22abf05d6a885219bb78f9f5de3234"/>
    <w:p>
      <w:pPr>
        <w:pStyle w:val="Heading4"/>
      </w:pPr>
      <w:r>
        <w:t xml:space="preserve">«Исследование показало», «учёные доказали»: насколько этому верить</w:t>
      </w:r>
    </w:p>
    <w:p>
      <w:pPr>
        <w:pStyle w:val="FirstParagraph"/>
      </w:pPr>
      <w:r>
        <w:rPr>
          <w:bCs/>
          <w:b/>
        </w:rPr>
        <w:t xml:space="preserve">Что это значит.</w:t>
      </w:r>
      <w:r>
        <w:t xml:space="preserve"> </w:t>
      </w:r>
      <w:r>
        <w:t xml:space="preserve">Одно исследование — только часть картины. Опыты на животных показывают не то же самое, что наблюдения за людьми. Надёжнее всего клинические рекомендации: они обобщают результаты многих исследований.</w:t>
      </w:r>
    </w:p>
    <w:p>
      <w:pPr>
        <w:pStyle w:val="BodyText"/>
      </w:pPr>
      <w:r>
        <w:rPr>
          <w:bCs/>
          <w:b/>
        </w:rPr>
        <w:t xml:space="preserve">Что делать.</w:t>
      </w:r>
      <w:r>
        <w:t xml:space="preserve"> </w:t>
      </w:r>
      <w:r>
        <w:t xml:space="preserve">Ищите, о ком исследование — о людях или о животных, о беременных или о всех, — и что о том же говорят клинические рекомендации. Если новость расходится с тем, что сказал врач, обсудите её с ним.</w:t>
      </w:r>
    </w:p>
    <w:p>
      <w:pPr>
        <w:pStyle w:val="BodyText"/>
      </w:pPr>
      <w:r>
        <w:rPr>
          <w:iCs/>
          <w:i/>
        </w:rPr>
        <w:t xml:space="preserve">Подробнее: Тема 7, раздел 7.1; Приложение 3.</w:t>
      </w:r>
    </w:p>
    <w:bookmarkEnd w:id="48"/>
    <w:bookmarkStart w:id="49" w:name="буквы-a-b-c-в-клинических-рекомендациях"/>
    <w:p>
      <w:pPr>
        <w:pStyle w:val="Heading4"/>
      </w:pPr>
      <w:r>
        <w:t xml:space="preserve">Буквы A, B, C в клинических рекомендациях</w:t>
      </w:r>
    </w:p>
    <w:p>
      <w:pPr>
        <w:pStyle w:val="FirstParagraph"/>
      </w:pPr>
      <w:r>
        <w:rPr>
          <w:bCs/>
          <w:b/>
        </w:rPr>
        <w:t xml:space="preserve">Что это значит.</w:t>
      </w:r>
      <w:r>
        <w:t xml:space="preserve"> </w:t>
      </w:r>
      <w:r>
        <w:t xml:space="preserve">У каждого пункта российских клинических рекомендаций стоит буква — уровень убедительности. A — сильная рекомендация. C — слабая: качественных исследований за ней нет или их выводы расходятся. Это не та буква, что стоит рядом с названием лекарства в справочниках: та описывала лекарство, эта — насколько надёжно обоснован совет.</w:t>
      </w:r>
    </w:p>
    <w:p>
      <w:pPr>
        <w:pStyle w:val="BodyText"/>
      </w:pPr>
      <w:r>
        <w:rPr>
          <w:iCs/>
          <w:i/>
        </w:rPr>
        <w:t xml:space="preserve">Подробнее: Тема 7, раздел 7.10.</w:t>
      </w:r>
    </w:p>
    <w:bookmarkEnd w:id="49"/>
    <w:bookmarkStart w:id="50"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p>
      <w:r>
        <w:pict>
          <v:rect style="width:0;height:1.5pt" o:hralign="center" o:hrstd="t" o:hr="t"/>
        </w:pict>
      </w:r>
    </w:p>
    <w:bookmarkEnd w:id="50"/>
    <w:bookmarkEnd w:id="51"/>
    <w:bookmarkEnd w:id="52"/>
    <w:bookmarkStart w:id="57"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3" w:name="где-искать"/>
    <w:p>
      <w:pPr>
        <w:pStyle w:val="Heading3"/>
      </w:pPr>
      <w:r>
        <w:t xml:space="preserve">Где искать</w:t>
      </w:r>
    </w:p>
    <w:p>
      <w:pPr>
        <w:numPr>
          <w:ilvl w:val="0"/>
          <w:numId w:val="1007"/>
        </w:numPr>
        <w:pStyle w:val="Compact"/>
      </w:pPr>
      <w:r>
        <w:rPr>
          <w:bCs/>
          <w:b/>
        </w:rPr>
        <w:t xml:space="preserve">Клинические рекомендации Минздрава России</w:t>
      </w:r>
      <w:r>
        <w:t xml:space="preserve"> </w:t>
      </w:r>
      <w:r>
        <w:t xml:space="preserve">— официальные документы о том, как обследовать и лечить болезни и состояния; по ним работают врачи.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7"/>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найдите лекарство по названию и откройте последнюю по дате инструкцию.</w:t>
      </w:r>
    </w:p>
    <w:p>
      <w:pPr>
        <w:numPr>
          <w:ilvl w:val="0"/>
          <w:numId w:val="1007"/>
        </w:numPr>
        <w:pStyle w:val="Compact"/>
      </w:pPr>
      <w:r>
        <w:rPr>
          <w:bCs/>
          <w:b/>
        </w:rPr>
        <w:t xml:space="preserve">Сайты Минздрава, государственных больниц и медицинских университетов.</w:t>
      </w:r>
    </w:p>
    <w:bookmarkEnd w:id="53"/>
    <w:bookmarkStart w:id="54" w:name="можно-ли-верить-тексту-четыре-вопроса"/>
    <w:p>
      <w:pPr>
        <w:pStyle w:val="Heading3"/>
      </w:pPr>
      <w:r>
        <w:t xml:space="preserve">Можно ли верить тексту: четыре вопроса</w:t>
      </w:r>
    </w:p>
    <w:p>
      <w:pPr>
        <w:numPr>
          <w:ilvl w:val="0"/>
          <w:numId w:val="1008"/>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8"/>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8"/>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8"/>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w:t>
      </w:r>
    </w:p>
    <w:p>
      <w:pPr>
        <w:pStyle w:val="BodyText"/>
      </w:pPr>
      <w:r>
        <w:rPr>
          <w:iCs/>
          <w:i/>
        </w:rPr>
        <w:t xml:space="preserve">Подробнее: Тема 10, раздел 10.9.</w:t>
      </w:r>
    </w:p>
    <w:p>
      <w:pPr>
        <w:pStyle w:val="BodyText"/>
      </w:pPr>
      <w:r>
        <w:t xml:space="preserve">Проще всего проверить текст с помощью искусственного интеллекта — запрос 1 ниже.</w:t>
      </w:r>
    </w:p>
    <w:bookmarkEnd w:id="54"/>
    <w:bookmarkStart w:id="55"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9"/>
        </w:numPr>
        <w:pStyle w:val="Compact"/>
      </w:pPr>
      <w:r>
        <w:t xml:space="preserve">Копируйте запрос из книги целиком и впишите своё вместо пропусков.</w:t>
      </w:r>
    </w:p>
    <w:p>
      <w:pPr>
        <w:numPr>
          <w:ilvl w:val="0"/>
          <w:numId w:val="1009"/>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9"/>
        </w:numPr>
        <w:pStyle w:val="Compact"/>
      </w:pPr>
      <w:r>
        <w:t xml:space="preserve">Не вводите фамилию, номер полиса, фотографии документов: для ответа они не нужны.</w:t>
      </w:r>
    </w:p>
    <w:p>
      <w:pPr>
        <w:numPr>
          <w:ilvl w:val="0"/>
          <w:numId w:val="1009"/>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5"/>
    <w:bookmarkStart w:id="56"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Можно ли мне: еда, процедура, поездка, прививка</w:t>
      </w:r>
    </w:p>
    <w:p>
      <w:pPr>
        <w:pStyle w:val="BlockText"/>
      </w:pPr>
      <w:r>
        <w:t xml:space="preserve">Я беременна, срок ___ недель. Можно ли мне ___ (продукт, напиток, витамин, трава, процедура, поездка, прививка, занятие спортом)? Если есть ограничения — по количеству, способу или сроку беременности, —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Лекарство</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Уже случилось</w:t>
      </w:r>
    </w:p>
    <w:p>
      <w:pPr>
        <w:pStyle w:val="BlockText"/>
      </w:pPr>
      <w:r>
        <w:t xml:space="preserve">Я беременна, срок ___ недель. ___ (что произошло и когда: контакт с заболевшим, укус клеща, выпила алкоголь, сделала рентген). Что известно о таком событии на моём сроке? Сравни с тем, как часто такие же исходы бывают при беременности и без этого. Что мне сделать сейчас, в какие сроки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6"/>
    <w:bookmarkEnd w:id="57"/>
    <w:bookmarkStart w:id="66"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(Приложение 2). Все адреса проверены 20.10.2026.</w:t>
      </w:r>
    </w:p>
    <w:p>
      <w:pPr>
        <w:numPr>
          <w:ilvl w:val="0"/>
          <w:numId w:val="1010"/>
        </w:numPr>
        <w:pStyle w:val="Compact"/>
      </w:pPr>
      <w:r>
        <w:t xml:space="preserve">National Library of Medicine (США), MedlinePlus.</w:t>
      </w:r>
      <w:r>
        <w:t xml:space="preserve"> </w:t>
      </w:r>
      <w:hyperlink r:id="rId58">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59">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2).</w:t>
      </w:r>
      <w:r>
        <w:t xml:space="preserve"> </w:t>
      </w:r>
      <w:hyperlink r:id="rId60">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2).</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1">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2).</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2">
        <w:r>
          <w:rPr>
            <w:rStyle w:val="Hyperlink"/>
          </w:rPr>
          <w:t xml:space="preserve">Единый реестр лицензий</w:t>
        </w:r>
      </w:hyperlink>
      <w:r>
        <w:t xml:space="preserve"> </w:t>
      </w:r>
      <w:r>
        <w:t xml:space="preserve">— поиск организации по названию, ИНН, ОГРН (Приложение 2).</w:t>
      </w:r>
    </w:p>
    <w:p>
      <w:pPr>
        <w:numPr>
          <w:ilvl w:val="0"/>
          <w:numId w:val="1010"/>
        </w:numPr>
        <w:pStyle w:val="Compact"/>
      </w:pPr>
      <w:r>
        <w:t xml:space="preserve">Оператор системы маркировки «Честный знак» (ООО «Оператор-ЦРПТ»).</w:t>
      </w:r>
      <w:r>
        <w:t xml:space="preserve"> </w:t>
      </w:r>
      <w:hyperlink r:id="rId63">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2).</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64">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2).</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созданный Минздравом России (Приложение 2, «Клинический»).</w:t>
      </w:r>
      <w:r>
        <w:t xml:space="preserve"> </w:t>
      </w:r>
      <w:r>
        <w:rPr>
          <w:iCs/>
          <w:i/>
        </w:rPr>
        <w:t xml:space="preserve">Статья 37 сверена 20.10.2026 по тексту Федерального закона от 25.12.2018 № 489-ФЗ, которым она изложена (rulaws.ru).</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5">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2026-10-20T13:33:50Z</dcterms:created>
  <dcterms:modified xsi:type="dcterms:W3CDTF">2026-10-20T13:33:50Z</dcterms:modified>
</cp:coreProperties>
</file>

<file path=docProps/custom.xml><?xml version="1.0" encoding="utf-8"?>
<Properties xmlns="http://schemas.openxmlformats.org/officeDocument/2006/custom-properties" xmlns:vt="http://schemas.openxmlformats.org/officeDocument/2006/docPropsVTypes"/>
</file>