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Пометки ПРОВЕРИТЬ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производителю проще написать «противопоказано», чем отвечать за область, которую никто не изучал.</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 По тому же пересчёту первые две недели, о которых шла речь выше, приходятся примерно на срок до четвёртой акушерской недели, то есть до задержки.</w:t>
      </w:r>
    </w:p>
    <w:p>
      <w:pPr>
        <w:pStyle w:val="BodyText"/>
      </w:pPr>
      <w:r>
        <w:rPr>
          <w:iCs/>
          <w:i/>
        </w:rPr>
        <w:t xml:space="preserve">ПРОВЕРИТЬ: сроки пересчитаны автором из недель от зачатия (FDA: 3–8 недель после зачатия) в акушерские, плюс две недели; нужно подтвердить пересчёт и округление до 5–10 недель.</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именно в третьем триместре,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Проще говоря: с 37,5 вопрос, чем сбивать, перестаёт быть вашим личным делом и становится поводом позвонить.</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и это позиция и американского консенсусного документа о стоматологической помощи беременным, и справочных служб по тератологии.</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предел прямо — до трёх дней как жаропонижающее и до пяти дней как обезболивающее; дальше только по назначению врача.</w:t>
      </w:r>
    </w:p>
    <w:p>
      <w:pPr>
        <w:pStyle w:val="BodyText"/>
      </w:pPr>
      <w:r>
        <w:rPr>
          <w:iCs/>
          <w:i/>
        </w:rPr>
        <w:t xml:space="preserve">ПРОВЕРИТЬ: инструкции расходятся — 3 и 5 суток, 5 суток, 5–7 суток; в тексте самый строгий вариант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на четвёртый день ситуация та же, вопрос уже не «что выпить», а «почему болит».</w:t>
      </w:r>
    </w:p>
    <w:p>
      <w:pPr>
        <w:pStyle w:val="BodyText"/>
      </w:pPr>
      <w:r>
        <w:t xml:space="preserve">Одна вещь про суточный максимум, из-за которой его и стоит держать в голове: считается он по веществу, а не по упаковке. Порошок от простуды, «противопростудная» шипучая таблетка и обычный парацетамол — это может быть одно и то же вещество в трёх разных коробках, и суммируются они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который руководители FIGO приводят от имени профессиональных объединений — FIGO, американской и британской коллегий акушеров-гинекологов: имеющиеся данные причинной связи между приёмом парацетамола при беременности и нарушениями развития не подтверждают, а женщинам рекомендуется взвешенное применение препарата, а не отказ от него.</w:t>
      </w:r>
    </w:p>
    <w:p>
      <w:pPr>
        <w:pStyle w:val="BodyText"/>
      </w:pPr>
      <w:r>
        <w:rPr>
          <w:iCs/>
          <w:i/>
        </w:rPr>
        <w:t xml:space="preserve">ПРОВЕРИТЬ: позиции американской и британской коллегий приведены по редакционной статье руководителей FIGO (Louwen et al., 2025), без сверки с документами самих коллегий.</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 сбить температуру «на всякий случай» — это не осторожность, а обмен подтверждённого риска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ацетилсалициловой кислотой устроено сложнее, и зависит всё от срока:</w:t>
      </w:r>
    </w:p>
    <w:p>
      <w:pPr>
        <w:numPr>
          <w:ilvl w:val="0"/>
          <w:numId w:val="1001"/>
        </w:numPr>
        <w:pStyle w:val="Compact"/>
      </w:pPr>
      <w:r>
        <w:rPr>
          <w:bCs/>
          <w:b/>
        </w:rPr>
        <w:t xml:space="preserve">первый триместр</w:t>
      </w:r>
      <w:r>
        <w:t xml:space="preserve"> </w:t>
      </w:r>
      <w:r>
        <w:t xml:space="preserve">— избегать;</w:t>
      </w:r>
    </w:p>
    <w:p>
      <w:pPr>
        <w:numPr>
          <w:ilvl w:val="0"/>
          <w:numId w:val="1001"/>
        </w:numPr>
        <w:pStyle w:val="Compact"/>
      </w:pPr>
      <w:r>
        <w:rPr>
          <w:bCs/>
          <w:b/>
        </w:rPr>
        <w:t xml:space="preserve">13–20 недель</w:t>
      </w:r>
      <w:r>
        <w:t xml:space="preserve"> </w:t>
      </w:r>
      <w:r>
        <w:t xml:space="preserve">— допустим короткий курс, 48–72 часа;</w:t>
      </w:r>
    </w:p>
    <w:p>
      <w:pPr>
        <w:numPr>
          <w:ilvl w:val="0"/>
          <w:numId w:val="1001"/>
        </w:numPr>
        <w:pStyle w:val="Compact"/>
      </w:pPr>
      <w:r>
        <w:rPr>
          <w:bCs/>
          <w:b/>
        </w:rPr>
        <w:t xml:space="preserve">20–27 недель</w:t>
      </w:r>
      <w:r>
        <w:t xml:space="preserve"> </w:t>
      </w:r>
      <w:r>
        <w:t xml:space="preserve">— ограничить;</w:t>
      </w:r>
    </w:p>
    <w:p>
      <w:pPr>
        <w:numPr>
          <w:ilvl w:val="0"/>
          <w:numId w:val="1001"/>
        </w:numPr>
        <w:pStyle w:val="Compact"/>
      </w:pPr>
      <w:r>
        <w:rPr>
          <w:bCs/>
          <w:b/>
        </w:rPr>
        <w:t xml:space="preserve">третий триместр</w:t>
      </w:r>
      <w:r>
        <w:t xml:space="preserve"> </w:t>
      </w:r>
      <w:r>
        <w:t xml:space="preserve">— избегать.</w:t>
      </w:r>
    </w:p>
    <w:p>
      <w:pPr>
        <w:pStyle w:val="FirstParagraph"/>
      </w:pPr>
      <w:r>
        <w:rPr>
          <w:iCs/>
          <w:i/>
        </w:rPr>
        <w:t xml:space="preserve">ПРОВЕРИТЬ: окна даны по американскому Consensus Statement. По сообщению «Фармвестника» (23.11.2020) Минздрав России потребовал указать в инструкциях системных НПВП противопоказание «беременность в сроке более 20 недель»; письма не открыты. Какую норму давать читательнице в России — решает врач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и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2"/>
        </w:numPr>
        <w:pStyle w:val="Compact"/>
      </w:pPr>
      <w:r>
        <w:t xml:space="preserve">сильная головная боль;</w:t>
      </w:r>
    </w:p>
    <w:p>
      <w:pPr>
        <w:numPr>
          <w:ilvl w:val="0"/>
          <w:numId w:val="1002"/>
        </w:numPr>
        <w:pStyle w:val="Compact"/>
      </w:pPr>
      <w:r>
        <w:t xml:space="preserve">нарушения зрения — размытие или мелькание перед глазами;</w:t>
      </w:r>
    </w:p>
    <w:p>
      <w:pPr>
        <w:numPr>
          <w:ilvl w:val="0"/>
          <w:numId w:val="1002"/>
        </w:numPr>
        <w:pStyle w:val="Compact"/>
      </w:pPr>
      <w:r>
        <w:t xml:space="preserve">повышение артериального давления выше 120/80;</w:t>
      </w:r>
    </w:p>
    <w:p>
      <w:pPr>
        <w:numPr>
          <w:ilvl w:val="0"/>
          <w:numId w:val="1002"/>
        </w:numPr>
        <w:pStyle w:val="Compact"/>
      </w:pPr>
      <w:r>
        <w:t xml:space="preserve">отёк лица, рук или ног;</w:t>
      </w:r>
    </w:p>
    <w:p>
      <w:pPr>
        <w:numPr>
          <w:ilvl w:val="0"/>
          <w:numId w:val="1002"/>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вы позвонили, а тревога не подтвердилась — это нормальный исход обращения, а не ложный вызов.</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Заложенность, тянущаяся третью неделю, обычно означает не провал лечения, а обычное течение ринита беременных, у которого есть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и препараты от расстройства желудка с висмута субсалицилатом.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Систематический обзор Cochrane по промыванию при аллергическом рините показывает, что оно может уменьшать симптомы, а нежелательные эффекты в исследованиях не описаны; достоверность этих данных низкая, и беременных среди участников не было.</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3"/>
        </w:numPr>
        <w:pStyle w:val="Compact"/>
      </w:pPr>
      <w:r>
        <w:t xml:space="preserve">на третий-четвёртый день стало хуже вместо улучшения;</w:t>
      </w:r>
    </w:p>
    <w:p>
      <w:pPr>
        <w:numPr>
          <w:ilvl w:val="0"/>
          <w:numId w:val="1003"/>
        </w:numPr>
        <w:pStyle w:val="Compact"/>
      </w:pPr>
      <w:r>
        <w:t xml:space="preserve">появилась одышка;</w:t>
      </w:r>
    </w:p>
    <w:p>
      <w:pPr>
        <w:numPr>
          <w:ilvl w:val="0"/>
          <w:numId w:val="1003"/>
        </w:numPr>
        <w:pStyle w:val="Compact"/>
      </w:pPr>
      <w:r>
        <w:t xml:space="preserve">появилась боль в груди или в ухе;</w:t>
      </w:r>
    </w:p>
    <w:p>
      <w:pPr>
        <w:numPr>
          <w:ilvl w:val="0"/>
          <w:numId w:val="1003"/>
        </w:numPr>
        <w:pStyle w:val="Compact"/>
      </w:pPr>
      <w:r>
        <w:t xml:space="preserve">кашель не даёт спать несколько ночей подряд.</w:t>
      </w:r>
    </w:p>
    <w:p>
      <w:pPr>
        <w:pStyle w:val="FirstParagraph"/>
      </w:pPr>
      <w:r>
        <w:t xml:space="preserve">И отдельно, потому что ошибка распространённая: температуру при беременности не «пережидают». Почему сбивать её нужно и с какой цифры — в том же разделе 7.7.</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4"/>
        </w:numPr>
        <w:pStyle w:val="Compact"/>
      </w:pPr>
      <w:r>
        <w:t xml:space="preserve">затруднённое дыхание, чувство нехватки воздуха;</w:t>
      </w:r>
    </w:p>
    <w:p>
      <w:pPr>
        <w:numPr>
          <w:ilvl w:val="0"/>
          <w:numId w:val="1004"/>
        </w:numPr>
        <w:pStyle w:val="Compact"/>
      </w:pPr>
      <w:r>
        <w:t xml:space="preserve">отёк лица, губ, языка или горла;</w:t>
      </w:r>
    </w:p>
    <w:p>
      <w:pPr>
        <w:numPr>
          <w:ilvl w:val="0"/>
          <w:numId w:val="1004"/>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помощь приехала, а тревога не подтвердилась, это нормальный исход вызова, а не ложная тревога.</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Прежде чем перейти к самим рекомендациям, стоит объяснить одну деталь их устройства, иначе половина сказанного ниже пройдёт мимо. У каждого пункта в них стоит буква — уровень убедительности: насколько твёрдо вывод обоснован.</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движение и клетчатка в этом случае не «общий совет», а мера с доказанной эффективностью.</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отдельным клиническим рекомендациям.</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Это не пробел книги, а состояние документа: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5"/>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5"/>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5"/>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5"/>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5"/>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5"/>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Речь не о запрете, а о том, что добавка назначается под конкретную задачу или конкретный дефицит, а не «потому что беременность». Для групп риска рекомендации свои: 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 железо — при риске железодефицита или при уже установленной анемии; 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w:t>
      </w:r>
    </w:p>
    <w:p>
      <w:pPr>
        <w:pStyle w:val="BodyText"/>
      </w:pPr>
      <w:r>
        <w:t xml:space="preserve">Что это означает не в теории, показывает один задокументированный случай. В коммерческих препаратах гинкго билоба обнаруживали колхицин — вещество с тератогенным действием, которого в составе быть не должно вообще.</w:t>
      </w:r>
    </w:p>
    <w:p>
      <w:pPr>
        <w:pStyle w:val="BodyText"/>
      </w:pPr>
      <w:r>
        <w:rPr>
          <w:bCs/>
          <w:b/>
        </w:rPr>
        <w:t xml:space="preserve">Что изучено лучше остального.</w:t>
      </w:r>
    </w:p>
    <w:p>
      <w:pPr>
        <w:numPr>
          <w:ilvl w:val="0"/>
          <w:numId w:val="1006"/>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6"/>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6"/>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7"/>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7"/>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7"/>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7"/>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применимыми при беременности при необходимости: бензоила пероксид, азелаиновая кислота, салициловая кислота, гликолевая кислота.</w:t>
      </w:r>
    </w:p>
    <w:p>
      <w:pPr>
        <w:pStyle w:val="BodyText"/>
      </w:pPr>
      <w:r>
        <w:rPr>
          <w:iCs/>
          <w:i/>
        </w:rPr>
        <w:t xml:space="preserve">ПРОВЕРИТЬ: перечень ACOG приведён по листку MotherToBaby, документ ACOG не открыт; гликолевая кислота стоит на единственном вторичном источнике (DISPUTED-CLAIMS, строка 18).</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И главная сложность здесь не в том, что этот сигнал доказанно вреден, а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отказ от нужного препарата — это не отсутствие риска, а другой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w:t>
      </w:r>
    </w:p>
    <w:p>
      <w:pPr>
        <w:pStyle w:val="BodyText"/>
      </w:pPr>
      <w:r>
        <w:t xml:space="preserve">Ваша задача — четыре вещи, и все четыре конкретные:</w:t>
      </w:r>
    </w:p>
    <w:p>
      <w:pPr>
        <w:numPr>
          <w:ilvl w:val="0"/>
          <w:numId w:val="1008"/>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8"/>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8"/>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8"/>
        </w:numPr>
        <w:pStyle w:val="Compact"/>
      </w:pPr>
      <w:r>
        <w:rPr>
          <w:bCs/>
          <w:b/>
        </w:rPr>
        <w:t xml:space="preserve">допить курс до конца</w:t>
      </w:r>
      <w:r>
        <w:t xml:space="preserve"> </w:t>
      </w:r>
      <w:r>
        <w:t xml:space="preserve">— брошенный на середине антибиотик не «меньше лекарства», а невылеченная инфекция и потраченное впустую действие препарата.</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rPr>
          <w:iCs/>
          <w:i/>
        </w:rPr>
        <w:t xml:space="preserve">ПРОВЕРИТЬ: фоновая частота пороков и прерываний — международные данные; российских данных в источниках проекта нет.</w:t>
      </w:r>
    </w:p>
    <w:p>
      <w:pPr>
        <w:pStyle w:val="BodyText"/>
      </w:pPr>
      <w:r>
        <w:t xml:space="preserve">Это не утешение, а точка отсчёта: без неё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9"/>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9"/>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9"/>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9"/>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9"/>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10"/>
        </w:numPr>
        <w:pStyle w:val="Compact"/>
      </w:pPr>
      <w:r>
        <w:t xml:space="preserve">сильная боль в животе;</w:t>
      </w:r>
    </w:p>
    <w:p>
      <w:pPr>
        <w:numPr>
          <w:ilvl w:val="0"/>
          <w:numId w:val="1010"/>
        </w:numPr>
        <w:pStyle w:val="Compact"/>
      </w:pPr>
      <w:r>
        <w:t xml:space="preserve">кровянистые выделения;</w:t>
      </w:r>
    </w:p>
    <w:p>
      <w:pPr>
        <w:numPr>
          <w:ilvl w:val="0"/>
          <w:numId w:val="1010"/>
        </w:numPr>
        <w:pStyle w:val="Compact"/>
      </w:pPr>
      <w:r>
        <w:t xml:space="preserve">резкое ухудшение состояния;</w:t>
      </w:r>
    </w:p>
    <w:p>
      <w:pPr>
        <w:pStyle w:val="FirstParagraph"/>
      </w:pPr>
      <w:r>
        <w:t xml:space="preserve">— то вопрос перестаёт быть вопросом о лекарстве. Вызывают скорую помощь: 103 с мобильного, 112 в любой сети, — и говорят, что вы беременны, на каком сроке и что принимали. Если тревога не подтвердится, это нормальный исход обращения, а не ложный вызов.</w:t>
      </w:r>
    </w:p>
    <w:p>
      <w:pPr>
        <w:pStyle w:val="BodyText"/>
      </w:pPr>
      <w:r>
        <w:rPr>
          <w:iCs/>
          <w:i/>
        </w:rPr>
        <w:t xml:space="preserve">ПРОВЕРИТЬ: в памятке КР «Нормальная беременность» боль внизу живота и кровянистые выделения — повод обратиться к врачу, скорая помощь не названа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1"/>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1"/>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1"/>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1"/>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1"/>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2"/>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2"/>
        </w:numPr>
        <w:pStyle w:val="Compact"/>
      </w:pPr>
      <w:r>
        <w:t xml:space="preserve">Есть ли препарат с той же задачей, но лучше изученный при беременности?</w:t>
      </w:r>
    </w:p>
    <w:p>
      <w:pPr>
        <w:numPr>
          <w:ilvl w:val="0"/>
          <w:numId w:val="1012"/>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2"/>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 это не ответ, а отказ отвечать,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3"/>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3"/>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3"/>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3"/>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3"/>
        </w:numPr>
        <w:pStyle w:val="Compact"/>
      </w:pPr>
      <w:r>
        <w:t xml:space="preserve">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зависят от срока: в первом и третьем триместрах их избегают.</w:t>
      </w:r>
    </w:p>
    <w:p>
      <w:pPr>
        <w:numPr>
          <w:ilvl w:val="0"/>
          <w:numId w:val="1013"/>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3"/>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3"/>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3"/>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rPr>
          <w:bCs/>
          <w:b/>
        </w:rPr>
        <w:t xml:space="preserve">Срок беременности</w:t>
      </w:r>
    </w:p>
    <w:p>
      <w:pPr>
        <w:pStyle w:val="BodyText"/>
      </w:pPr>
      <w:r>
        <w:t xml:space="preserve">3. U.S. Food and Drug Administration.</w:t>
      </w:r>
      <w:r>
        <w:t xml:space="preserve"> </w:t>
      </w:r>
      <w:hyperlink r:id="rId22">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4. Centers for Disease Control and Prevention.</w:t>
      </w:r>
      <w:r>
        <w:t xml:space="preserve"> </w:t>
      </w:r>
      <w:hyperlink r:id="rId23">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w:t>
      </w:r>
    </w:p>
    <w:p>
      <w:pPr>
        <w:pStyle w:val="BodyText"/>
      </w:pPr>
      <w:r>
        <w:rPr>
          <w:bCs/>
          <w:b/>
        </w:rPr>
        <w:t xml:space="preserve">Безрецептурные средства</w:t>
      </w:r>
    </w:p>
    <w:p>
      <w:pPr>
        <w:pStyle w:val="BodyText"/>
      </w:pPr>
      <w:r>
        <w:t xml:space="preserve">5. American Academy of Pediatric Dentistry.</w:t>
      </w:r>
      <w:r>
        <w:t xml:space="preserve"> </w:t>
      </w:r>
      <w:hyperlink r:id="rId24">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6. Oral Health Care During Pregnancy Expert Workgroup.</w:t>
      </w:r>
      <w:r>
        <w:t xml:space="preserve"> </w:t>
      </w:r>
      <w:hyperlink r:id="rId25">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сроки для нестероидных противовоспалительных: первый триместр — избегать, 13–20 недель — короткий курс 48–72 часа, 20–27 недель — ограничить, третий триместр — избегать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7. АО «ПФК Обновление».</w:t>
      </w:r>
      <w:r>
        <w:t xml:space="preserve"> </w:t>
      </w:r>
      <w:hyperlink r:id="rId26">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8. Видаль.</w:t>
      </w:r>
      <w:r>
        <w:t xml:space="preserve"> </w:t>
      </w:r>
      <w:hyperlink r:id="rId27">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(7.7).</w:t>
      </w:r>
    </w:p>
    <w:p>
      <w:pPr>
        <w:pStyle w:val="BodyText"/>
      </w:pPr>
      <w:r>
        <w:t xml:space="preserve">9. MotherToBaby (Organization of Teratology Information Specialists).</w:t>
      </w:r>
      <w:r>
        <w:t xml:space="preserve"> </w:t>
      </w:r>
      <w:hyperlink r:id="rId28">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10. UK Teratology Information Service (UKTIS).</w:t>
      </w:r>
      <w:r>
        <w:t xml:space="preserve"> </w:t>
      </w:r>
      <w:hyperlink r:id="rId29">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11. Louwen F., Deuster E., McAuliffe F.M. et al. </w:t>
      </w:r>
      <w:hyperlink r:id="rId30">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FIGO, ACOG и RCOG продолжают рекомендовать парацетамол как самое безопасное обезболивающее при беременности (7.7);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Позиции ACOG и RCOG приведены по этой статье, без сверки с их документами. 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12. Ahlqvist V.H., Sjöqvist H., Dalman C. et al. </w:t>
      </w:r>
      <w:hyperlink r:id="rId31">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rPr>
          <w:bCs/>
          <w:b/>
        </w:rPr>
        <w:t xml:space="preserve">Простуда, кашель, насморк</w:t>
      </w:r>
    </w:p>
    <w:p>
      <w:pPr>
        <w:pStyle w:val="BodyText"/>
      </w:pPr>
      <w:r>
        <w:t xml:space="preserve">13. Dumitru C.S., Zara F., Novacescu D. et al. </w:t>
      </w:r>
      <w:hyperlink r:id="rId32">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14. Head K., Snidvongs K., Glew S. et al. </w:t>
      </w:r>
      <w:hyperlink r:id="rId33">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(7.8).</w:t>
      </w:r>
      <w:r>
        <w:t xml:space="preserve"> </w:t>
      </w:r>
      <w:r>
        <w:rPr>
          <w:iCs/>
          <w:i/>
        </w:rPr>
        <w:t xml:space="preserve">Страница Cochrane Library агенту закрыта (код 412); содержание сверено по резюме на cochrane.org и по реферату в PubMed (PMID 29932206).</w:t>
      </w:r>
    </w:p>
    <w:p>
      <w:pPr>
        <w:pStyle w:val="BodyText"/>
      </w:pPr>
      <w:r>
        <w:t xml:space="preserve">15. Zeitlin J., Shermetaro C., Sutton A.E.</w:t>
      </w:r>
      <w:r>
        <w:t xml:space="preserve"> </w:t>
      </w:r>
      <w:hyperlink r:id="rId34">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16. MotherToBaby (Organization of Teratology Information Specialists).</w:t>
      </w:r>
      <w:r>
        <w:t xml:space="preserve"> </w:t>
      </w:r>
      <w:hyperlink r:id="rId35">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rPr>
          <w:bCs/>
          <w:b/>
        </w:rPr>
        <w:t xml:space="preserve">Аллергия</w:t>
      </w:r>
    </w:p>
    <w:p>
      <w:pPr>
        <w:pStyle w:val="BodyText"/>
      </w:pPr>
      <w:r>
        <w:t xml:space="preserve">17. UK Teratology Information Service (UKTIS).</w:t>
      </w:r>
      <w:r>
        <w:t xml:space="preserve"> </w:t>
      </w:r>
      <w:hyperlink r:id="rId36">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18. Минздрав России, Российское общество акушеров-гинекологов.</w:t>
      </w:r>
      <w:r>
        <w:t xml:space="preserve"> </w:t>
      </w:r>
      <w:hyperlink r:id="rId37">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19. Sarecka-Hujar B., Szulc-Musioł B.</w:t>
      </w:r>
      <w:r>
        <w:t xml:space="preserve"> </w:t>
      </w:r>
      <w:hyperlink r:id="rId38">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rPr>
          <w:bCs/>
          <w:b/>
        </w:rPr>
        <w:t xml:space="preserve">Наружные средства и лечебная косметика</w:t>
      </w:r>
    </w:p>
    <w:p>
      <w:pPr>
        <w:pStyle w:val="BodyText"/>
      </w:pPr>
      <w:r>
        <w:t xml:space="preserve">20. Alali A.B., Alhammad F.A., Almohammed Saleh J.A. et al. </w:t>
      </w:r>
      <w:hyperlink r:id="rId39">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21. Chi C.-C., Wang S.-H., Wojnarowska F. et al. </w:t>
      </w:r>
      <w:hyperlink r:id="rId40">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22. MotherToBaby (Organization of Teratology Information Specialists).</w:t>
      </w:r>
      <w:r>
        <w:t xml:space="preserve"> </w:t>
      </w:r>
      <w:hyperlink r:id="rId41">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приведена по листку, без сверки с документом ACOG.</w:t>
      </w:r>
    </w:p>
    <w:p>
      <w:pPr>
        <w:pStyle w:val="BodyText"/>
      </w:pPr>
      <w:r>
        <w:t xml:space="preserve">23. Российское общество дерматовенерологов и косметологов.</w:t>
      </w:r>
      <w:r>
        <w:t xml:space="preserve"> </w:t>
      </w:r>
      <w:hyperlink r:id="rId42">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24. Регистр лекарственных средств России (РЛС).</w:t>
      </w:r>
      <w:r>
        <w:t xml:space="preserve"> </w:t>
      </w:r>
      <w:hyperlink r:id="rId43">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25. UK Teratology Information Service (UKTIS).</w:t>
      </w:r>
      <w:r>
        <w:t xml:space="preserve"> </w:t>
      </w:r>
      <w:hyperlink r:id="rId44">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26. MotherToBaby (Organization of Teratology Information Specialists).</w:t>
      </w:r>
      <w:r>
        <w:t xml:space="preserve"> </w:t>
      </w:r>
      <w:hyperlink r:id="rId45">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27. Verteramo R., Pierdomenico M., Greco P., Milano C.</w:t>
      </w:r>
      <w:r>
        <w:t xml:space="preserve"> </w:t>
      </w:r>
      <w:hyperlink r:id="rId46">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hyperlink" Target="https://congress-med.ru/assets/files/2024/2024-normalnaya-beremennost.pdf" TargetMode="External"/><Relationship Id="rId31" Type="http://schemas.openxmlformats.org/officeDocument/2006/relationships/hyperlink" Target="https://doi.org/10.1001/jama.2024.3172" TargetMode="External"/><Relationship Id="rId30" Type="http://schemas.openxmlformats.org/officeDocument/2006/relationships/hyperlink" Target="https://doi.org/10.1002/ijgo.70577" TargetMode="External"/><Relationship Id="rId42" Type="http://schemas.openxmlformats.org/officeDocument/2006/relationships/hyperlink" Target="https://ismos.ru/guidelines/doc/akne.pdf" TargetMode="External"/><Relationship Id="rId45"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44" Type="http://schemas.openxmlformats.org/officeDocument/2006/relationships/hyperlink" Target="https://uktis.org/monographs/exposure-to-hydroquinone-in-pregnancy/" TargetMode="External"/><Relationship Id="rId29" Type="http://schemas.openxmlformats.org/officeDocument/2006/relationships/hyperlink" Target="https://uktis.org/monographs/therapeutic-use-of-paracetamol-in-pregnancy/" TargetMode="External"/><Relationship Id="rId36" Type="http://schemas.openxmlformats.org/officeDocument/2006/relationships/hyperlink" Target="https://uktis.org/monographs/use-of-loratadine-in-pregnancy/" TargetMode="External"/><Relationship Id="rId24" Type="http://schemas.openxmlformats.org/officeDocument/2006/relationships/hyperlink" Target="https://www.aapd.org/globalassets/media/policies_guidelines/bp_pregnancy25.pdf" TargetMode="External"/><Relationship Id="rId23" Type="http://schemas.openxmlformats.org/officeDocument/2006/relationships/hyperlink" Target="https://www.cdc.gov/medicine-and-pregnancy/about/index.html" TargetMode="External"/><Relationship Id="rId40" Type="http://schemas.openxmlformats.org/officeDocument/2006/relationships/hyperlink" Target="https://www.cochrane.org/evidence/CD007346_safety-topical-steroids-pregnancy" TargetMode="External"/><Relationship Id="rId33" Type="http://schemas.openxmlformats.org/officeDocument/2006/relationships/hyperlink" Target="https://www.cochrane.org/evidence/CD012597_nasal-saline-allergic-rhinitis" TargetMode="External"/><Relationship Id="rId20" Type="http://schemas.openxmlformats.org/officeDocument/2006/relationships/hyperlink" Target="https://www.fda.gov/drugs/labeling-information-drug-products/pregnancy-and-lactation-labeling-drugs-final-rule" TargetMode="External"/><Relationship Id="rId22" Type="http://schemas.openxmlformats.org/officeDocument/2006/relationships/hyperlink" Target="https://www.fda.gov/media/71368/download" TargetMode="External"/><Relationship Id="rId39" Type="http://schemas.openxmlformats.org/officeDocument/2006/relationships/hyperlink" Target="https://www.frontiersin.org/journals/drug-safety-and-regulation/articles/10.3389/fdsfr.2026.1864872/full" TargetMode="External"/><Relationship Id="rId25" Type="http://schemas.openxmlformats.org/officeDocument/2006/relationships/hyperlink" Target="https://www.mchoralhealth.org/PDFs/OralHealthPregnancyConsensus.pdf" TargetMode="External"/><Relationship Id="rId38" Type="http://schemas.openxmlformats.org/officeDocument/2006/relationships/hyperlink" Target="https://www.mdpi.com/1999-4923/14/1/171" TargetMode="External"/><Relationship Id="rId32" Type="http://schemas.openxmlformats.org/officeDocument/2006/relationships/hyperlink" Target="https://www.mdpi.com/2075-1729/15/8/1166" TargetMode="External"/><Relationship Id="rId46" Type="http://schemas.openxmlformats.org/officeDocument/2006/relationships/hyperlink" Target="https://www.mdpi.com/2227-9059/10/12/3252" TargetMode="External"/><Relationship Id="rId34" Type="http://schemas.openxmlformats.org/officeDocument/2006/relationships/hyperlink" Target="https://www.ncbi.nlm.nih.gov/books/NBK538318/" TargetMode="External"/><Relationship Id="rId28" Type="http://schemas.openxmlformats.org/officeDocument/2006/relationships/hyperlink" Target="https://www.ncbi.nlm.nih.gov/books/NBK582757/" TargetMode="External"/><Relationship Id="rId35" Type="http://schemas.openxmlformats.org/officeDocument/2006/relationships/hyperlink" Target="https://www.ncbi.nlm.nih.gov/books/NBK582924/" TargetMode="External"/><Relationship Id="rId41" Type="http://schemas.openxmlformats.org/officeDocument/2006/relationships/hyperlink" Target="https://www.ncbi.nlm.nih.gov/books/NBK582985/" TargetMode="External"/><Relationship Id="rId26" Type="http://schemas.openxmlformats.org/officeDocument/2006/relationships/hyperlink" Target="https://www.renewal.ru/upload/iblock/0d5/pvc43taofcxbxc9wct94kzubtdwhd870/Paratsetamol-Reneval-_-instruktsiya-po-primeneniyu.pdf" TargetMode="External"/><Relationship Id="rId43" Type="http://schemas.openxmlformats.org/officeDocument/2006/relationships/hyperlink" Target="https://www.rlsnet.ru/active-substance/benzoila-peroksid-885" TargetMode="External"/><Relationship Id="rId27"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congress-med.ru/assets/files/2024/2024-normalnaya-beremennost.pdf" TargetMode="External"/><Relationship Id="rId31" Type="http://schemas.openxmlformats.org/officeDocument/2006/relationships/hyperlink" Target="https://doi.org/10.1001/jama.2024.3172" TargetMode="External"/><Relationship Id="rId30" Type="http://schemas.openxmlformats.org/officeDocument/2006/relationships/hyperlink" Target="https://doi.org/10.1002/ijgo.70577" TargetMode="External"/><Relationship Id="rId42" Type="http://schemas.openxmlformats.org/officeDocument/2006/relationships/hyperlink" Target="https://ismos.ru/guidelines/doc/akne.pdf" TargetMode="External"/><Relationship Id="rId45"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44" Type="http://schemas.openxmlformats.org/officeDocument/2006/relationships/hyperlink" Target="https://uktis.org/monographs/exposure-to-hydroquinone-in-pregnancy/" TargetMode="External"/><Relationship Id="rId29" Type="http://schemas.openxmlformats.org/officeDocument/2006/relationships/hyperlink" Target="https://uktis.org/monographs/therapeutic-use-of-paracetamol-in-pregnancy/" TargetMode="External"/><Relationship Id="rId36" Type="http://schemas.openxmlformats.org/officeDocument/2006/relationships/hyperlink" Target="https://uktis.org/monographs/use-of-loratadine-in-pregnancy/" TargetMode="External"/><Relationship Id="rId24" Type="http://schemas.openxmlformats.org/officeDocument/2006/relationships/hyperlink" Target="https://www.aapd.org/globalassets/media/policies_guidelines/bp_pregnancy25.pdf" TargetMode="External"/><Relationship Id="rId23" Type="http://schemas.openxmlformats.org/officeDocument/2006/relationships/hyperlink" Target="https://www.cdc.gov/medicine-and-pregnancy/about/index.html" TargetMode="External"/><Relationship Id="rId40" Type="http://schemas.openxmlformats.org/officeDocument/2006/relationships/hyperlink" Target="https://www.cochrane.org/evidence/CD007346_safety-topical-steroids-pregnancy" TargetMode="External"/><Relationship Id="rId33" Type="http://schemas.openxmlformats.org/officeDocument/2006/relationships/hyperlink" Target="https://www.cochrane.org/evidence/CD012597_nasal-saline-allergic-rhinitis" TargetMode="External"/><Relationship Id="rId20" Type="http://schemas.openxmlformats.org/officeDocument/2006/relationships/hyperlink" Target="https://www.fda.gov/drugs/labeling-information-drug-products/pregnancy-and-lactation-labeling-drugs-final-rule" TargetMode="External"/><Relationship Id="rId22" Type="http://schemas.openxmlformats.org/officeDocument/2006/relationships/hyperlink" Target="https://www.fda.gov/media/71368/download" TargetMode="External"/><Relationship Id="rId39" Type="http://schemas.openxmlformats.org/officeDocument/2006/relationships/hyperlink" Target="https://www.frontiersin.org/journals/drug-safety-and-regulation/articles/10.3389/fdsfr.2026.1864872/full" TargetMode="External"/><Relationship Id="rId25" Type="http://schemas.openxmlformats.org/officeDocument/2006/relationships/hyperlink" Target="https://www.mchoralhealth.org/PDFs/OralHealthPregnancyConsensus.pdf" TargetMode="External"/><Relationship Id="rId38" Type="http://schemas.openxmlformats.org/officeDocument/2006/relationships/hyperlink" Target="https://www.mdpi.com/1999-4923/14/1/171" TargetMode="External"/><Relationship Id="rId32" Type="http://schemas.openxmlformats.org/officeDocument/2006/relationships/hyperlink" Target="https://www.mdpi.com/2075-1729/15/8/1166" TargetMode="External"/><Relationship Id="rId46" Type="http://schemas.openxmlformats.org/officeDocument/2006/relationships/hyperlink" Target="https://www.mdpi.com/2227-9059/10/12/3252" TargetMode="External"/><Relationship Id="rId34" Type="http://schemas.openxmlformats.org/officeDocument/2006/relationships/hyperlink" Target="https://www.ncbi.nlm.nih.gov/books/NBK538318/" TargetMode="External"/><Relationship Id="rId28" Type="http://schemas.openxmlformats.org/officeDocument/2006/relationships/hyperlink" Target="https://www.ncbi.nlm.nih.gov/books/NBK582757/" TargetMode="External"/><Relationship Id="rId35" Type="http://schemas.openxmlformats.org/officeDocument/2006/relationships/hyperlink" Target="https://www.ncbi.nlm.nih.gov/books/NBK582924/" TargetMode="External"/><Relationship Id="rId41" Type="http://schemas.openxmlformats.org/officeDocument/2006/relationships/hyperlink" Target="https://www.ncbi.nlm.nih.gov/books/NBK582985/" TargetMode="External"/><Relationship Id="rId26" Type="http://schemas.openxmlformats.org/officeDocument/2006/relationships/hyperlink" Target="https://www.renewal.ru/upload/iblock/0d5/pvc43taofcxbxc9wct94kzubtdwhd870/Paratsetamol-Reneval-_-instruktsiya-po-primeneniyu.pdf" TargetMode="External"/><Relationship Id="rId43" Type="http://schemas.openxmlformats.org/officeDocument/2006/relationships/hyperlink" Target="https://www.rlsnet.ru/active-substance/benzoila-peroksid-885" TargetMode="External"/><Relationship Id="rId27"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2026-10-07T22:19:27Z</dcterms:created>
  <dcterms:modified xsi:type="dcterms:W3CDTF">2026-10-07T22:19:27Z</dcterms:modified>
</cp:coreProperties>
</file>

<file path=docProps/custom.xml><?xml version="1.0" encoding="utf-8"?>
<Properties xmlns="http://schemas.openxmlformats.org/officeDocument/2006/custom-properties" xmlns:vt="http://schemas.openxmlformats.org/officeDocument/2006/docPropsVTypes"/>
</file>