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3–5).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Мои лекарства и добавки</w:t>
      </w:r>
    </w:p>
    <w:p>
      <w:pPr>
        <w:numPr>
          <w:ilvl w:val="0"/>
          <w:numId w:val="1001"/>
        </w:numPr>
        <w:pStyle w:val="Compact"/>
      </w:pPr>
      <w:r>
        <w:t xml:space="preserve">Приложение 3. Как понимать медицинскую информацию</w:t>
      </w:r>
    </w:p>
    <w:p>
      <w:pPr>
        <w:numPr>
          <w:ilvl w:val="0"/>
          <w:numId w:val="1001"/>
        </w:numPr>
        <w:pStyle w:val="Compact"/>
      </w:pPr>
      <w:r>
        <w:t xml:space="preserve">Приложение 4. Как проверять медицинскую информацию в интернете</w:t>
      </w:r>
    </w:p>
    <w:p>
      <w:pPr>
        <w:numPr>
          <w:ilvl w:val="0"/>
          <w:numId w:val="1001"/>
        </w:numPr>
        <w:pStyle w:val="Compact"/>
      </w:pPr>
      <w:r>
        <w:t xml:space="preserve">Приложение 5. Как проверить лекарство</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1"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Раздел 0, пункт 0.7 — какая одышка при беременности бывает обычно</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3;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5</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2"/>
    <w:bookmarkEnd w:id="23"/>
    <w:bookmarkStart w:id="25" w:name="приложение-2.-мои-лекарства-и-добавки"/>
    <w:p>
      <w:pPr>
        <w:pStyle w:val="Heading2"/>
      </w:pPr>
      <w:r>
        <w:t xml:space="preserve">Приложение 2. Мои лекарства и добавки</w:t>
      </w:r>
    </w:p>
    <w:p>
      <w:pPr>
        <w:pStyle w:val="FirstParagraph"/>
      </w:pPr>
      <w:r>
        <w:t xml:space="preserve">Список всего, что вы принимаете, помогает врачу сразу увидеть полную картину и заметить, если одно и то же вещество приходит из двух средств сразу (Тема 7, раздел 7.3). Распечатайте бланк, заполните его и держите вместе с обменной картой.</w:t>
      </w:r>
    </w:p>
    <w:p>
      <w:pPr>
        <w:pStyle w:val="BodyText"/>
      </w:pPr>
      <w:r>
        <w:rPr>
          <w:bCs/>
          <w:b/>
        </w:rPr>
        <w:t xml:space="preserve">Что записывать.</w:t>
      </w:r>
      <w:r>
        <w:t xml:space="preserve"> </w:t>
      </w:r>
      <w:r>
        <w:t xml:space="preserve">Всё, что вы принимаете: лекарства по назначению врача и без рецепта, витамины, добавки, травяные чаи.</w:t>
      </w:r>
    </w:p>
    <w:p>
      <w:pPr>
        <w:pStyle w:val="BodyText"/>
      </w:pPr>
      <w:r>
        <w:rPr>
          <w:bCs/>
          <w:b/>
        </w:rPr>
        <w:t xml:space="preserve">Как заполнять бланк.</w:t>
      </w:r>
    </w:p>
    <w:p>
      <w:pPr>
        <w:numPr>
          <w:ilvl w:val="0"/>
          <w:numId w:val="1002"/>
        </w:numPr>
        <w:pStyle w:val="Compact"/>
      </w:pPr>
      <w:r>
        <w:rPr>
          <w:bCs/>
          <w:b/>
        </w:rPr>
        <w:t xml:space="preserve">Название на коробке</w:t>
      </w:r>
      <w:r>
        <w:t xml:space="preserve"> </w:t>
      </w:r>
      <w:r>
        <w:t xml:space="preserve">— как написано крупно.</w:t>
      </w:r>
    </w:p>
    <w:p>
      <w:pPr>
        <w:numPr>
          <w:ilvl w:val="0"/>
          <w:numId w:val="1002"/>
        </w:numPr>
        <w:pStyle w:val="Compact"/>
      </w:pPr>
      <w:r>
        <w:rPr>
          <w:bCs/>
          <w:b/>
        </w:rPr>
        <w:t xml:space="preserve">Действующее вещество</w:t>
      </w:r>
      <w:r>
        <w:t xml:space="preserve"> </w:t>
      </w:r>
      <w:r>
        <w:t xml:space="preserve">— мелким шрифтом под названием. Если не нашли, найдите лекарство по названию в Государственном реестре лекарственных средств (ссылка ниже).</w:t>
      </w:r>
    </w:p>
    <w:p>
      <w:pPr>
        <w:numPr>
          <w:ilvl w:val="0"/>
          <w:numId w:val="1002"/>
        </w:numPr>
        <w:pStyle w:val="Compact"/>
      </w:pPr>
      <w:r>
        <w:rPr>
          <w:bCs/>
          <w:b/>
        </w:rPr>
        <w:t xml:space="preserve">От чего</w:t>
      </w:r>
      <w:r>
        <w:t xml:space="preserve"> </w:t>
      </w:r>
      <w:r>
        <w:t xml:space="preserve">— зачем вы это принимаете.</w:t>
      </w:r>
    </w:p>
    <w:p>
      <w:pPr>
        <w:numPr>
          <w:ilvl w:val="0"/>
          <w:numId w:val="1002"/>
        </w:numPr>
        <w:pStyle w:val="Compact"/>
      </w:pPr>
      <w:r>
        <w:rPr>
          <w:bCs/>
          <w:b/>
        </w:rPr>
        <w:t xml:space="preserve">Сколько и как часто</w:t>
      </w:r>
      <w:r>
        <w:t xml:space="preserve"> </w:t>
      </w:r>
      <w:r>
        <w:t xml:space="preserve">— сколько миллиграммов или таблеток за раз и сколько раз в день.</w:t>
      </w:r>
    </w:p>
    <w:p>
      <w:pPr>
        <w:numPr>
          <w:ilvl w:val="0"/>
          <w:numId w:val="1002"/>
        </w:numPr>
        <w:pStyle w:val="Compact"/>
      </w:pPr>
      <w:r>
        <w:rPr>
          <w:bCs/>
          <w:b/>
        </w:rPr>
        <w:t xml:space="preserve">Кто назначил или посоветовал</w:t>
      </w:r>
      <w:r>
        <w:t xml:space="preserve"> </w:t>
      </w:r>
      <w:r>
        <w:t xml:space="preserve">— врач, фармацевт, сама, знакомые.</w:t>
      </w:r>
    </w:p>
    <w:p>
      <w:pPr>
        <w:numPr>
          <w:ilvl w:val="0"/>
          <w:numId w:val="1002"/>
        </w:numPr>
        <w:pStyle w:val="Compact"/>
      </w:pPr>
      <w:r>
        <w:rPr>
          <w:bCs/>
          <w:b/>
        </w:rPr>
        <w:t xml:space="preserve">С какого числа.</w:t>
      </w:r>
    </w:p>
    <w:p>
      <w:pPr>
        <w:numPr>
          <w:ilvl w:val="0"/>
          <w:numId w:val="1002"/>
        </w:numPr>
        <w:pStyle w:val="Compact"/>
      </w:pPr>
      <w:r>
        <w:rPr>
          <w:bCs/>
          <w:b/>
        </w:rPr>
        <w:t xml:space="preserve">До какого числа и почему прекратила</w:t>
      </w:r>
      <w:r>
        <w:t xml:space="preserve"> </w:t>
      </w:r>
      <w:r>
        <w:t xml:space="preserve">— если перестали принимать.</w:t>
      </w:r>
    </w:p>
    <w:p>
      <w:pPr>
        <w:pStyle w:val="FirstParagraph"/>
      </w:pPr>
      <w:r>
        <w:rPr>
          <w:bCs/>
          <w:b/>
        </w:rPr>
        <w:t xml:space="preserve">Когда брать с собой.</w:t>
      </w:r>
      <w:r>
        <w:t xml:space="preserve"> </w:t>
      </w:r>
      <w:r>
        <w:t xml:space="preserve">На каждый приём и в роддом, если придётся ехать срочно (Раздел 0).</w:t>
      </w:r>
    </w:p>
    <w:p>
      <w:pPr>
        <w:pStyle w:val="BodyText"/>
      </w:pPr>
      <w:r>
        <w:t xml:space="preserve">Назначенное врачом лекарство сами не отменяют: сначала звонят врачу, который его назначил (Тема 7, раздел 7.5).</w:t>
      </w:r>
    </w:p>
    <w:p>
      <w:pPr>
        <w:pStyle w:val="BodyText"/>
      </w:pPr>
      <w:r>
        <w:rPr>
          <w:bCs/>
          <w:b/>
        </w:rPr>
        <w:t xml:space="preserve">Скачать бланк для печати</w:t>
      </w:r>
      <w:r>
        <w:t xml:space="preserve"> </w:t>
      </w:r>
      <w:r>
        <w:t xml:space="preserve">—</w:t>
      </w:r>
      <w:r>
        <w:t xml:space="preserve"> </w:t>
      </w:r>
      <w:r>
        <w:rPr>
          <w:rStyle w:val="VerbatimChar"/>
        </w:rPr>
        <w:t xml:space="preserve">blank-moi-lekarstva.pdf</w:t>
      </w:r>
      <w:r>
        <w:t xml:space="preserve"> </w:t>
      </w:r>
      <w:r>
        <w:t xml:space="preserve">(А4, горизонтально).</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bookmarkStart w:id="24" w:name="как-проверить-лекарство"/>
    <w:p>
      <w:pPr>
        <w:pStyle w:val="Heading3"/>
      </w:pPr>
      <w:r>
        <w:t xml:space="preserve">Как проверить лекарство</w:t>
      </w:r>
    </w:p>
    <w:p>
      <w:pPr>
        <w:numPr>
          <w:ilvl w:val="0"/>
          <w:numId w:val="1003"/>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3"/>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3"/>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3"/>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rStyle w:val="VerbatimChar"/>
          <w:highlight w:val="yellow"/>
        </w:rPr>
        <w:t xml:space="preserve">[ПРОВЕРИТЬ: врачу — бланк и проверку лекарств согласовать: какие столбцы и пункты нужны беременной, какие избыточны (решение пользователя 20.10.2026). Этот блок повторяет Приложение 5, «Если хотите проверить сами».]</w:t>
      </w:r>
    </w:p>
    <w:p>
      <w:pPr>
        <w:pStyle w:val="BodyText"/>
      </w:pPr>
      <w:r>
        <w:rPr>
          <w:iCs/>
          <w:i/>
        </w:rPr>
        <w:t xml:space="preserve">В HTML «Скачать бланк» и ссылки на сайты — кнопки (</w:t>
      </w:r>
      <w:r>
        <w:rPr>
          <w:rStyle w:val="VerbatimChar"/>
          <w:iCs/>
          <w:i/>
        </w:rPr>
        <w:t xml:space="preserve">editorial/html-navigaciya.md</w:t>
      </w:r>
      <w:r>
        <w:rPr>
          <w:iCs/>
          <w:i/>
        </w:rPr>
        <w:t xml:space="preserve">). В печатной книге вместо кнопки «Скачать» — бланк на отдельной странице.</w:t>
      </w:r>
    </w:p>
    <w:p>
      <w:r>
        <w:pict>
          <v:rect style="width:0;height:1.5pt" o:hralign="center" o:hrstd="t" o:hr="t"/>
        </w:pict>
      </w:r>
    </w:p>
    <w:bookmarkEnd w:id="24"/>
    <w:bookmarkEnd w:id="25"/>
    <w:bookmarkStart w:id="49" w:name="X535e591da7191f1026145d506cbc6ffc0a72f84"/>
    <w:p>
      <w:pPr>
        <w:pStyle w:val="Heading2"/>
      </w:pPr>
      <w:r>
        <w:t xml:space="preserve">Приложение 3. Как понимать медицинскую информацию</w:t>
      </w:r>
    </w:p>
    <w:p>
      <w:pPr>
        <w:pStyle w:val="FirstParagraph"/>
      </w:pPr>
      <w:r>
        <w:t xml:space="preserve">Здесь объяснены слова и выражения, которые встречаются в обменной карте, бланках анализов, инструкциях к лекарствам и статьях. Найдите группу по тому, где вы встретили слово.</w:t>
      </w:r>
    </w:p>
    <w:bookmarkStart w:id="33" w:name="в-обменной-карте-и-заключении-врача"/>
    <w:p>
      <w:pPr>
        <w:pStyle w:val="Heading3"/>
      </w:pPr>
      <w:r>
        <w:t xml:space="preserve">В обменной карте и заключении врача</w:t>
      </w:r>
    </w:p>
    <w:bookmarkStart w:id="26" w:name="акушерский-срок-от-чего-считают-недели"/>
    <w:p>
      <w:pPr>
        <w:pStyle w:val="Heading4"/>
      </w:pPr>
      <w:r>
        <w:t xml:space="preserve">«Акушерский срок»: от чего считают недели</w:t>
      </w:r>
    </w:p>
    <w:p>
      <w:pPr>
        <w:pStyle w:val="FirstParagraph"/>
      </w:pPr>
      <w:r>
        <w:rPr>
          <w:bCs/>
          <w:b/>
        </w:rPr>
        <w:t xml:space="preserve">Что это значит.</w:t>
      </w:r>
      <w:r>
        <w:t xml:space="preserve"> </w:t>
      </w:r>
      <w:r>
        <w:t xml:space="preserve">Врачи считают срок беременности в акушерских неделях — от первого дня последней менструации, а не от зачатия. Зачатие приходится примерно на две недели позже. Поэтому четыре акушерские недели — это около двух недель от зачатия.</w:t>
      </w:r>
    </w:p>
    <w:p>
      <w:pPr>
        <w:pStyle w:val="BodyText"/>
      </w:pPr>
      <w:r>
        <w:rPr>
          <w:bCs/>
          <w:b/>
        </w:rPr>
        <w:t xml:space="preserve">Что делать.</w:t>
      </w:r>
      <w:r>
        <w:t xml:space="preserve"> </w:t>
      </w:r>
      <w:r>
        <w:t xml:space="preserve">Называйте врачу и в аптеке срок в неделях, как он записан в обменной карте.</w:t>
      </w:r>
    </w:p>
    <w:p>
      <w:pPr>
        <w:pStyle w:val="BodyText"/>
      </w:pPr>
      <w:r>
        <w:rPr>
          <w:iCs/>
          <w:i/>
        </w:rPr>
        <w:t xml:space="preserve">Подробнее: Тема 7, раздел 7.2.</w:t>
      </w:r>
    </w:p>
    <w:bookmarkEnd w:id="26"/>
    <w:bookmarkStart w:id="27" w:name="анамнез-что-это"/>
    <w:p>
      <w:pPr>
        <w:pStyle w:val="Heading4"/>
      </w:pPr>
      <w:r>
        <w:t xml:space="preserve">«Анамнез»: что это</w:t>
      </w:r>
    </w:p>
    <w:p>
      <w:pPr>
        <w:pStyle w:val="FirstParagraph"/>
      </w:pPr>
      <w:r>
        <w:rPr>
          <w:bCs/>
          <w:b/>
        </w:rPr>
        <w:t xml:space="preserve">Что это значит.</w:t>
      </w:r>
      <w:r>
        <w:t xml:space="preserve"> </w:t>
      </w:r>
      <w:r>
        <w:t xml:space="preserve">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прошлые беременности и роды: сколько их было и как они закончились.</w:t>
      </w:r>
    </w:p>
    <w:p>
      <w:pPr>
        <w:pStyle w:val="BodyText"/>
      </w:pPr>
      <w:r>
        <w:rPr>
          <w:bCs/>
          <w:b/>
        </w:rPr>
        <w:t xml:space="preserve">Что делать.</w:t>
      </w:r>
      <w:r>
        <w:t xml:space="preserve"> </w:t>
      </w:r>
      <w:r>
        <w:t xml:space="preserve">Перед первым приёмом выпишите даты операций и прошлых беременностей и возьмите выписки, если они есть.</w:t>
      </w:r>
    </w:p>
    <w:p>
      <w:pPr>
        <w:pStyle w:val="BodyText"/>
      </w:pPr>
      <w:r>
        <w:rPr>
          <w:iCs/>
          <w:i/>
        </w:rPr>
        <w:t xml:space="preserve">Подробнее: Ориентационный раздел, раздел 1.</w:t>
      </w:r>
    </w:p>
    <w:bookmarkEnd w:id="27"/>
    <w:bookmarkStart w:id="28" w:name="жалоба-симптом-диагноз-в-чём-разница"/>
    <w:p>
      <w:pPr>
        <w:pStyle w:val="Heading4"/>
      </w:pPr>
      <w:r>
        <w:t xml:space="preserve">«Жалоба», «симптом», «диагноз»: в чём разница</w:t>
      </w:r>
    </w:p>
    <w:p>
      <w:pPr>
        <w:pStyle w:val="FirstParagraph"/>
      </w:pPr>
      <w:r>
        <w:rPr>
          <w:bCs/>
          <w:b/>
        </w:rPr>
        <w:t xml:space="preserve">Что это значит.</w:t>
      </w:r>
      <w:r>
        <w:t xml:space="preserve"> </w:t>
      </w:r>
      <w:r>
        <w:t xml:space="preserve">Жалоба — то, что вы рассказываете врачу. Симптом — признак, который замечаете вы или находит врач. Диагноз — причина, которую устанавливает врач. Один симптом бывает при разных причинах: жжение при мочеиспускании возможно и при инфекции, и без неё, а подтвердить инфекцию может только анализ.</w:t>
      </w:r>
    </w:p>
    <w:p>
      <w:pPr>
        <w:pStyle w:val="BodyText"/>
      </w:pPr>
      <w:r>
        <w:rPr>
          <w:bCs/>
          <w:b/>
        </w:rPr>
        <w:t xml:space="preserve">Что делать.</w:t>
      </w:r>
      <w:r>
        <w:t xml:space="preserve"> </w:t>
      </w:r>
      <w:r>
        <w:t xml:space="preserve">Дома замечайте, что изменилось и как быстро. Причину выяснят осмотр и обследование. Насколько срочно обращаться — Раздел 0.</w:t>
      </w:r>
    </w:p>
    <w:p>
      <w:pPr>
        <w:pStyle w:val="BodyText"/>
      </w:pPr>
      <w:r>
        <w:rPr>
          <w:iCs/>
          <w:i/>
        </w:rPr>
        <w:t xml:space="preserve">Подробнее: Тема 11, раздел 11.1.</w:t>
      </w:r>
    </w:p>
    <w:bookmarkEnd w:id="28"/>
    <w:bookmarkStart w:id="29" w:name="показания-и-противопоказания-что-это"/>
    <w:p>
      <w:pPr>
        <w:pStyle w:val="Heading4"/>
      </w:pPr>
      <w:r>
        <w:t xml:space="preserve">«Показания» и «противопоказания»: что это</w:t>
      </w:r>
    </w:p>
    <w:p>
      <w:pPr>
        <w:pStyle w:val="FirstParagraph"/>
      </w:pPr>
      <w:r>
        <w:rPr>
          <w:bCs/>
          <w:b/>
        </w:rPr>
        <w:t xml:space="preserve">Что это значит.</w:t>
      </w:r>
      <w:r>
        <w:t xml:space="preserve"> </w:t>
      </w:r>
      <w:r>
        <w:t xml:space="preserve">Показание — причина назначить обследование или лекарство. Противопоказание — причина его не назначать или назначать с осторожностью. «По показаниям» — не всем, а только когда есть причина: жалоба, результат другого анализа, болезнь, срок беременности.</w:t>
      </w:r>
    </w:p>
    <w:p>
      <w:pPr>
        <w:pStyle w:val="BodyText"/>
      </w:pPr>
      <w:r>
        <w:rPr>
          <w:bCs/>
          <w:b/>
        </w:rPr>
        <w:t xml:space="preserve">Что спросить у врача.</w:t>
      </w:r>
      <w:r>
        <w:t xml:space="preserve"> </w:t>
      </w:r>
      <w:r>
        <w:t xml:space="preserve">Какое показание у назначения и что изменится, если обследование что-то найдёт.</w:t>
      </w:r>
    </w:p>
    <w:p>
      <w:pPr>
        <w:pStyle w:val="BodyText"/>
      </w:pPr>
      <w:r>
        <w:rPr>
          <w:iCs/>
          <w:i/>
        </w:rPr>
        <w:t xml:space="preserve">Подробнее: Ориентационный раздел, раздел 5.</w:t>
      </w:r>
    </w:p>
    <w:bookmarkEnd w:id="29"/>
    <w:bookmarkStart w:id="30" w:name="острый-и-хронический-в-чём-разница"/>
    <w:p>
      <w:pPr>
        <w:pStyle w:val="Heading4"/>
      </w:pPr>
      <w:r>
        <w:t xml:space="preserve">«Острый» и «хронический»: в чём разница</w:t>
      </w:r>
    </w:p>
    <w:p>
      <w:pPr>
        <w:pStyle w:val="FirstParagraph"/>
      </w:pPr>
      <w:r>
        <w:rPr>
          <w:bCs/>
          <w:b/>
        </w:rPr>
        <w:t xml:space="preserve">Что это значит.</w:t>
      </w:r>
      <w:r>
        <w:t xml:space="preserve"> </w:t>
      </w:r>
      <w:r>
        <w:t xml:space="preserve">Острое состояние началось внезапно или недавно. Хроническое длится месяцы и годы или время от времени возвращается. «Обострение» — давняя болезнь снова дала о себе знать.</w:t>
      </w:r>
    </w:p>
    <w:bookmarkEnd w:id="30"/>
    <w:bookmarkStart w:id="31" w:name="X4d59bdd4c4e7393fffc3f6c34873e482ca5b17d"/>
    <w:p>
      <w:pPr>
        <w:pStyle w:val="Heading4"/>
      </w:pPr>
      <w:r>
        <w:t xml:space="preserve">«Экстренная», «неотложная», «плановая» помощь: в чём разница</w:t>
      </w:r>
    </w:p>
    <w:p>
      <w:pPr>
        <w:pStyle w:val="FirstParagraph"/>
      </w:pPr>
      <w:r>
        <w:rPr>
          <w:bCs/>
          <w:b/>
        </w:rPr>
        <w:t xml:space="preserve">Что это значит.</w:t>
      </w:r>
      <w:r>
        <w:t xml:space="preserve"> </w:t>
      </w:r>
      <w:r>
        <w:t xml:space="preserve">Экстренная помощь нужна при угрозе жизни, и её оказывают сразу: для этого вызывают скорую или едут в приёмное отделение роддома. Неотложная — при внезапном ухудшении без явной угрозы жизни. Плановая — когда помощь можно отложить и от этого не станет хуже, например обычные визиты в женскую консультацию.</w:t>
      </w:r>
    </w:p>
    <w:p>
      <w:pPr>
        <w:pStyle w:val="BodyText"/>
      </w:pPr>
      <w:r>
        <w:rPr>
          <w:iCs/>
          <w:i/>
        </w:rPr>
        <w:t xml:space="preserve">Подробнее: Раздел 0.</w:t>
      </w:r>
    </w:p>
    <w:bookmarkEnd w:id="31"/>
    <w:bookmarkStart w:id="32" w:name="X6e9192c78dabc7cac8d13dce197362a903d06cd"/>
    <w:p>
      <w:pPr>
        <w:pStyle w:val="Heading4"/>
      </w:pPr>
      <w:r>
        <w:t xml:space="preserve">«Амбулаторно», «дневной стационар», «стационар»: что это</w:t>
      </w:r>
    </w:p>
    <w:p>
      <w:pPr>
        <w:pStyle w:val="FirstParagraph"/>
      </w:pPr>
      <w:r>
        <w:rPr>
          <w:bCs/>
          <w:b/>
        </w:rPr>
        <w:t xml:space="preserve">Что это значит.</w:t>
      </w:r>
      <w:r>
        <w:t xml:space="preserve"> </w:t>
      </w:r>
      <w:r>
        <w:t xml:space="preserve">Амбулаторно — без госпитализации: в поликлинике, женской консультации или на дому, ночуете вы дома. Дневной стационар — лечение днём, на ночь вы уходите домой. Стационар — больница или роддом, где наблюдают круглосуточно. Госпитализация — когда вас кладут в стационар.</w:t>
      </w:r>
    </w:p>
    <w:bookmarkEnd w:id="32"/>
    <w:bookmarkEnd w:id="33"/>
    <w:bookmarkStart w:id="38" w:name="в-бланке-анализа-и-результате-узи"/>
    <w:p>
      <w:pPr>
        <w:pStyle w:val="Heading3"/>
      </w:pPr>
      <w:r>
        <w:t xml:space="preserve">В бланке анализа и результате УЗИ</w:t>
      </w:r>
    </w:p>
    <w:bookmarkStart w:id="34" w:name="как-читать-бланк-анализа"/>
    <w:p>
      <w:pPr>
        <w:pStyle w:val="Heading4"/>
      </w:pPr>
      <w:r>
        <w:t xml:space="preserve">Как читать бланк анализа</w:t>
      </w:r>
    </w:p>
    <w:p>
      <w:pPr>
        <w:pStyle w:val="FirstParagraph"/>
      </w:pPr>
      <w:r>
        <w:rPr>
          <w:bCs/>
          <w:b/>
        </w:rPr>
        <w:t xml:space="preserve">Что это значит.</w:t>
      </w:r>
      <w:r>
        <w:t xml:space="preserve"> </w:t>
      </w:r>
      <w:r>
        <w:t xml:space="preserve">Рядом с результатом лаборатория пишет границы нормы — их называют референсными значениями. Сравнивайте результат с границами в том же бланке: у разных лабораторий они могут немного отличаться. Цифра за границей нормы — ещё не диагноз: врач смотрит на неё вместе со сроком беременности, самочувствием и прошлыми анализами. Например, «положительно» в строке IgM ещё не значит «больна»: анализ повторяют через 10–14 дней и делают уточняющее исследование. И наоборот, анализ в норме отвечает только на свой вопрос: нормальный гемоглобин не значит, что запасов железа хватает, — их показывает другой анализ, ферритин.</w:t>
      </w:r>
    </w:p>
    <w:p>
      <w:pPr>
        <w:pStyle w:val="BodyText"/>
      </w:pPr>
      <w:r>
        <w:rPr>
          <w:bCs/>
          <w:b/>
        </w:rPr>
        <w:t xml:space="preserve">Что делать.</w:t>
      </w:r>
      <w:r>
        <w:t xml:space="preserve"> </w:t>
      </w:r>
      <w:r>
        <w:t xml:space="preserve">Не ищите ответ в интернете по одной цифре. Спросите врача, в норме ли результат для вашего срока. Если вместе с плохим результатом появились признаки из Раздела 0, действуйте по Разделу 0.</w:t>
      </w:r>
    </w:p>
    <w:p>
      <w:pPr>
        <w:pStyle w:val="BodyText"/>
      </w:pPr>
      <w:r>
        <w:rPr>
          <w:iCs/>
          <w:i/>
        </w:rPr>
        <w:t xml:space="preserve">Подробнее: Ориентационный раздел, раздел 6; Тема 9, раздел 9.18; Тема 1, раздел 1.2.</w:t>
      </w:r>
    </w:p>
    <w:bookmarkEnd w:id="34"/>
    <w:bookmarkStart w:id="35" w:name="скрининг-и-диагностика-в-чём-разница"/>
    <w:p>
      <w:pPr>
        <w:pStyle w:val="Heading4"/>
      </w:pPr>
      <w:r>
        <w:t xml:space="preserve">«Скрининг» и «диагностика»: в чём разница</w:t>
      </w:r>
    </w:p>
    <w:p>
      <w:pPr>
        <w:pStyle w:val="FirstParagraph"/>
      </w:pPr>
      <w:r>
        <w:rPr>
          <w:bCs/>
          <w:b/>
        </w:rPr>
        <w:t xml:space="preserve">Что это значит.</w:t>
      </w:r>
      <w:r>
        <w:t xml:space="preserve"> </w:t>
      </w:r>
      <w:r>
        <w:t xml:space="preserve">Скрининг проводят всем беременным,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w:t>
      </w:r>
    </w:p>
    <w:p>
      <w:pPr>
        <w:pStyle w:val="BodyText"/>
      </w:pPr>
      <w:r>
        <w:rPr>
          <w:iCs/>
          <w:i/>
        </w:rPr>
        <w:t xml:space="preserve">Подробнее: Ориентационный раздел, раздел 3.</w:t>
      </w:r>
    </w:p>
    <w:bookmarkEnd w:id="35"/>
    <w:bookmarkStart w:id="36" w:name="Xa01037e8c9e0c1ff18f95da87cdc37778956237"/>
    <w:p>
      <w:pPr>
        <w:pStyle w:val="Heading4"/>
      </w:pPr>
      <w:r>
        <w:t xml:space="preserve">Риск 1:100 в результате скрининга: много это или мало</w:t>
      </w:r>
    </w:p>
    <w:p>
      <w:pPr>
        <w:pStyle w:val="FirstParagraph"/>
      </w:pPr>
      <w:r>
        <w:rPr>
          <w:bCs/>
          <w:b/>
        </w:rPr>
        <w:t xml:space="preserve">Что это значит.</w:t>
      </w:r>
      <w:r>
        <w:t xml:space="preserve"> </w:t>
      </w:r>
      <w:r>
        <w:t xml:space="preserve">Дробь показывает шанс. 1:100 — один шанс из ста: если бы такой результат был у ста женщин, ребёнок с хромосомным отклонением был бы в среднем у одной из них, а у девяноста девяти — без него. 1:5000 — один из пяти тысяч. Чем больше число после двоеточия, тем риск меньше. Высоким считают риск 1:100 и выше, например 1:50.</w:t>
      </w:r>
    </w:p>
    <w:p>
      <w:pPr>
        <w:pStyle w:val="BodyText"/>
      </w:pPr>
      <w:r>
        <w:rPr>
          <w:bCs/>
          <w:b/>
        </w:rPr>
        <w:t xml:space="preserve">Что делать.</w:t>
      </w:r>
      <w:r>
        <w:t xml:space="preserve"> </w:t>
      </w:r>
      <w:r>
        <w:t xml:space="preserve">Высокий риск — повод для более точной проверки, а не диагноз. Результат объяснят на консультации, решения о дальнейших шагах примут вместе с вами.</w:t>
      </w:r>
    </w:p>
    <w:p>
      <w:pPr>
        <w:pStyle w:val="BodyText"/>
      </w:pPr>
      <w:r>
        <w:rPr>
          <w:iCs/>
          <w:i/>
        </w:rPr>
        <w:t xml:space="preserve">Подробнее: Ориентационный раздел, раздел 3.</w:t>
      </w:r>
    </w:p>
    <w:bookmarkEnd w:id="36"/>
    <w:bookmarkStart w:id="37" w:name="цифра-порог-зачем-она-нужна"/>
    <w:p>
      <w:pPr>
        <w:pStyle w:val="Heading4"/>
      </w:pPr>
      <w:r>
        <w:t xml:space="preserve">Цифра-«порог»: зачем она нужна</w:t>
      </w:r>
    </w:p>
    <w:p>
      <w:pPr>
        <w:pStyle w:val="FirstParagraph"/>
      </w:pPr>
      <w:r>
        <w:rPr>
          <w:bCs/>
          <w:b/>
        </w:rPr>
        <w:t xml:space="preserve">Что это значит.</w:t>
      </w:r>
      <w:r>
        <w:t xml:space="preserve"> </w:t>
      </w: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w:t>
      </w:r>
    </w:p>
    <w:p>
      <w:pPr>
        <w:pStyle w:val="BodyText"/>
      </w:pPr>
      <w:r>
        <w:rPr>
          <w:iCs/>
          <w:i/>
        </w:rPr>
        <w:t xml:space="preserve">Подробнее: Тема 11, раздел 11.3; Раздел 0.</w:t>
      </w:r>
    </w:p>
    <w:bookmarkEnd w:id="37"/>
    <w:bookmarkEnd w:id="38"/>
    <w:bookmarkStart w:id="42" w:name="в-инструкции-к-лекарству"/>
    <w:p>
      <w:pPr>
        <w:pStyle w:val="Heading3"/>
      </w:pPr>
      <w:r>
        <w:t xml:space="preserve">В инструкции к лекарству</w:t>
      </w:r>
    </w:p>
    <w:bookmarkStart w:id="39" w:name="X106f02188066368bb9810f4fd977666666e4f8c"/>
    <w:p>
      <w:pPr>
        <w:pStyle w:val="Heading4"/>
      </w:pPr>
      <w:r>
        <w:t xml:space="preserve">«Противопоказано при беременности»: значит ли это, что лекарство вредно</w:t>
      </w:r>
    </w:p>
    <w:p>
      <w:pPr>
        <w:pStyle w:val="FirstParagraph"/>
      </w:pPr>
      <w:r>
        <w:rPr>
          <w:bCs/>
          <w:b/>
        </w:rPr>
        <w:t xml:space="preserve">Что это значит.</w:t>
      </w:r>
      <w:r>
        <w:t xml:space="preserve"> </w:t>
      </w: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значит, что у беременных лекарство не изучали, а не что вред доказан.</w:t>
      </w:r>
    </w:p>
    <w:p>
      <w:pPr>
        <w:pStyle w:val="BodyText"/>
      </w:pPr>
      <w:r>
        <w:rPr>
          <w:bCs/>
          <w:b/>
        </w:rPr>
        <w:t xml:space="preserve">Что делать.</w:t>
      </w:r>
      <w:r>
        <w:t xml:space="preserve"> </w:t>
      </w:r>
      <w:r>
        <w:t xml:space="preserve">Если врач назначил лекарство, зная о беременности, не отменяйте его сами. Спросите, почему оно назначено, несмотря на запись в инструкции.</w:t>
      </w:r>
    </w:p>
    <w:p>
      <w:pPr>
        <w:pStyle w:val="BodyText"/>
      </w:pPr>
      <w:r>
        <w:rPr>
          <w:iCs/>
          <w:i/>
        </w:rPr>
        <w:t xml:space="preserve">Подробнее: Тема 7, раздел 7.1.</w:t>
      </w:r>
    </w:p>
    <w:bookmarkEnd w:id="39"/>
    <w:bookmarkStart w:id="40" w:name="X6d7796a2dd15a1431988af9716deab7a3e4de17"/>
    <w:p>
      <w:pPr>
        <w:pStyle w:val="Heading4"/>
      </w:pPr>
      <w:r>
        <w:t xml:space="preserve">«Нет данных» или «не изучено»: значит ли это, что безопасно</w:t>
      </w:r>
    </w:p>
    <w:p>
      <w:pPr>
        <w:pStyle w:val="FirstParagraph"/>
      </w:pPr>
      <w:r>
        <w:rPr>
          <w:bCs/>
          <w:b/>
        </w:rPr>
        <w:t xml:space="preserve">Что это значит.</w:t>
      </w:r>
      <w:r>
        <w:t xml:space="preserve"> </w:t>
      </w:r>
      <w:r>
        <w:t xml:space="preserve">Нет. Беременных почти не берут в исследования новых лекарств, и сведения о том, как лекарство действует при беременности, собираются годами. «Нет данных о вреде» значит, что вред не изучали или не нашли, а не что доказано, что его нет.</w:t>
      </w:r>
    </w:p>
    <w:p>
      <w:pPr>
        <w:pStyle w:val="BodyText"/>
      </w:pPr>
      <w:r>
        <w:rPr>
          <w:bCs/>
          <w:b/>
        </w:rPr>
        <w:t xml:space="preserve">Что спросить у врача.</w:t>
      </w:r>
      <w:r>
        <w:t xml:space="preserve"> </w:t>
      </w:r>
      <w:r>
        <w:t xml:space="preserve">Есть ли средство для той же цели, которое лучше изучено при беременности.</w:t>
      </w:r>
    </w:p>
    <w:p>
      <w:pPr>
        <w:pStyle w:val="BodyText"/>
      </w:pPr>
      <w:r>
        <w:rPr>
          <w:iCs/>
          <w:i/>
        </w:rPr>
        <w:t xml:space="preserve">Подробнее: Тема 7, разделы 7.1 и 7.17.</w:t>
      </w:r>
    </w:p>
    <w:bookmarkEnd w:id="40"/>
    <w:bookmarkStart w:id="41" w:name="X64df22c784959c9da19f3ba5339a8cff09f9842"/>
    <w:p>
      <w:pPr>
        <w:pStyle w:val="Heading4"/>
      </w:pPr>
      <w:r>
        <w:t xml:space="preserve">Буква A, B, C, D или X рядом с названием лекарства</w:t>
      </w:r>
    </w:p>
    <w:p>
      <w:pPr>
        <w:pStyle w:val="FirstParagraph"/>
      </w:pPr>
      <w:r>
        <w:rPr>
          <w:bCs/>
          <w:b/>
        </w:rPr>
        <w:t xml:space="preserve">Что это значит.</w:t>
      </w:r>
      <w:r>
        <w:t xml:space="preserve"> </w:t>
      </w:r>
      <w:r>
        <w:t xml:space="preserve">Это американская система оценки лекарств при беременности, её отменили в 2015 году. В официальной российской инструкции такой буквы может не быть, но в справочниках и на сайтах она встречается. Буква не говорит, откуда взяты сведения и насколько серьёзен возможный вред.</w:t>
      </w:r>
    </w:p>
    <w:p>
      <w:pPr>
        <w:pStyle w:val="BodyText"/>
      </w:pPr>
      <w:r>
        <w:rPr>
          <w:bCs/>
          <w:b/>
        </w:rPr>
        <w:t xml:space="preserve">Что делать.</w:t>
      </w:r>
      <w:r>
        <w:t xml:space="preserve"> </w:t>
      </w:r>
      <w:r>
        <w:t xml:space="preserve">Букву можно не учитывать. Читайте то, что написано рядом словами, и с этим вопросом идите к врачу.</w:t>
      </w:r>
    </w:p>
    <w:p>
      <w:pPr>
        <w:pStyle w:val="BodyText"/>
      </w:pPr>
      <w:r>
        <w:rPr>
          <w:iCs/>
          <w:i/>
        </w:rPr>
        <w:t xml:space="preserve">Подробнее: Тема 7, раздел 7.1.</w:t>
      </w:r>
    </w:p>
    <w:bookmarkEnd w:id="41"/>
    <w:bookmarkEnd w:id="42"/>
    <w:bookmarkStart w:id="48" w:name="в-статьях-и-новостях"/>
    <w:p>
      <w:pPr>
        <w:pStyle w:val="Heading3"/>
      </w:pPr>
      <w:r>
        <w:t xml:space="preserve">В статьях и новостях</w:t>
      </w:r>
    </w:p>
    <w:bookmarkStart w:id="43" w:name="клинический-что-это-значит"/>
    <w:p>
      <w:pPr>
        <w:pStyle w:val="Heading4"/>
      </w:pPr>
      <w:r>
        <w:t xml:space="preserve">«Клинический»: что это значит</w:t>
      </w:r>
    </w:p>
    <w:p>
      <w:pPr>
        <w:pStyle w:val="FirstParagraph"/>
      </w:pPr>
      <w:r>
        <w:rPr>
          <w:bCs/>
          <w:b/>
        </w:rPr>
        <w:t xml:space="preserve">Что это значит.</w:t>
      </w:r>
      <w:r>
        <w:t xml:space="preserve"> </w:t>
      </w:r>
      <w:r>
        <w:t xml:space="preserve">«Клинический» — относящийся к осмотру и лечению людей. Клинические рекомендации — официальные документы о том, как обследовать и лечить определённое состояние: их составляют медицинские профессиональные общества и одобряет Минздрав России, по ним работают врачи и на них опирается эта книга. Клиническое исследование — исследование лекарства или способа лечения с участием людей. Клинический анализ крови — то же, что общий анализ крови.</w:t>
      </w:r>
    </w:p>
    <w:bookmarkEnd w:id="43"/>
    <w:bookmarkStart w:id="44" w:name="X7666b021d486d6891863397c3425f88c3591cba"/>
    <w:p>
      <w:pPr>
        <w:pStyle w:val="Heading4"/>
      </w:pPr>
      <w:r>
        <w:t xml:space="preserve">«Фактор риска»: значит ли это, что осложнение будет</w:t>
      </w:r>
    </w:p>
    <w:p>
      <w:pPr>
        <w:pStyle w:val="FirstParagraph"/>
      </w:pPr>
      <w:r>
        <w:rPr>
          <w:bCs/>
          <w:b/>
        </w:rPr>
        <w:t xml:space="preserve">Что это значит.</w:t>
      </w:r>
      <w:r>
        <w:t xml:space="preserve"> </w:t>
      </w:r>
      <w:r>
        <w:t xml:space="preserve">Нет. Фактор риска говорит, у кого осложнение встречается чаще, но не говорит, будет ли оно у вас. Врачу он помогает решить, за чем следить внимательнее и нужна ли профилактика.</w:t>
      </w:r>
    </w:p>
    <w:p>
      <w:pPr>
        <w:pStyle w:val="BodyText"/>
      </w:pPr>
      <w:r>
        <w:rPr>
          <w:iCs/>
          <w:i/>
        </w:rPr>
        <w:t xml:space="preserve">Подробнее: Тема 10, раздел 10.2; Ориентационный раздел, раздел 2.</w:t>
      </w:r>
    </w:p>
    <w:bookmarkEnd w:id="44"/>
    <w:bookmarkStart w:id="45" w:name="Xedda6fa5a763c70bd0f606085b4d5a63905698a"/>
    <w:p>
      <w:pPr>
        <w:pStyle w:val="Heading4"/>
      </w:pPr>
      <w:r>
        <w:t xml:space="preserve">«Связано с»: значит ли это, что одно вызвало другое</w:t>
      </w:r>
    </w:p>
    <w:p>
      <w:pPr>
        <w:pStyle w:val="FirstParagraph"/>
      </w:pPr>
      <w:r>
        <w:rPr>
          <w:bCs/>
          <w:b/>
        </w:rPr>
        <w:t xml:space="preserve">Что это значит.</w:t>
      </w:r>
      <w:r>
        <w:t xml:space="preserve"> </w:t>
      </w:r>
      <w:r>
        <w:t xml:space="preserve">Не обязательно. Если два события случились одно за другим, первое не обязательно вызвало второе. Нужно знать, как часто то же самое бывает и без него. Например, даже без всяких лекарств примерно у четырёх детей из ста бывает крупный порок развития, а около шестнадцати известных беременностей из ста заканчиваются выкидышем. Если этого не знать, любое совпадение по времени кажется причиной.</w:t>
      </w:r>
    </w:p>
    <w:p>
      <w:pPr>
        <w:pStyle w:val="BodyText"/>
      </w:pPr>
      <w:r>
        <w:rPr>
          <w:iCs/>
          <w:i/>
        </w:rPr>
        <w:t xml:space="preserve">Подробнее: Тема 7, раздел 7.16.</w:t>
      </w:r>
    </w:p>
    <w:bookmarkEnd w:id="45"/>
    <w:bookmarkStart w:id="46" w:name="риск-вырос-в-два-раза-много-это-или-мало"/>
    <w:p>
      <w:pPr>
        <w:pStyle w:val="Heading4"/>
      </w:pPr>
      <w:r>
        <w:t xml:space="preserve">«Риск вырос в два раза»: много это или мало</w:t>
      </w:r>
    </w:p>
    <w:p>
      <w:pPr>
        <w:pStyle w:val="FirstParagraph"/>
      </w:pPr>
      <w:r>
        <w:rPr>
          <w:bCs/>
          <w:b/>
        </w:rPr>
        <w:t xml:space="preserve">Что это значит.</w:t>
      </w:r>
      <w:r>
        <w:t xml:space="preserve"> </w:t>
      </w:r>
      <w:r>
        <w:t xml:space="preserve">Зависит от того, каким риск был сначала. Если он был один на десять тысяч, то в два раза больше — два на десять тысяч. Если он был один из ста — два из ста.</w:t>
      </w:r>
    </w:p>
    <w:p>
      <w:pPr>
        <w:pStyle w:val="BodyText"/>
      </w:pPr>
      <w:r>
        <w:rPr>
          <w:bCs/>
          <w:b/>
        </w:rPr>
        <w:t xml:space="preserve">Что делать.</w:t>
      </w:r>
      <w:r>
        <w:t xml:space="preserve"> </w:t>
      </w:r>
      <w:r>
        <w:t xml:space="preserve">Когда читаете «в два раза» или «на 50 %», ищите или спрашивайте, сколько это случаев на сто или на тысячу женщин.</w:t>
      </w:r>
    </w:p>
    <w:bookmarkEnd w:id="46"/>
    <w:bookmarkStart w:id="47" w:name="может-обычно-редко-как-их-читать"/>
    <w:p>
      <w:pPr>
        <w:pStyle w:val="Heading4"/>
      </w:pPr>
      <w:r>
        <w:t xml:space="preserve">«Может», «обычно», «редко»: как их читать</w:t>
      </w:r>
    </w:p>
    <w:p>
      <w:pPr>
        <w:pStyle w:val="FirstParagraph"/>
      </w:pPr>
      <w:r>
        <w:rPr>
          <w:bCs/>
          <w:b/>
        </w:rPr>
        <w:t xml:space="preserve">Что это значит.</w:t>
      </w:r>
      <w:r>
        <w:t xml:space="preserve"> </w:t>
      </w:r>
      <w:r>
        <w:t xml:space="preserve">В медицинских текстах эти слова выбирают точно. «Может вызывать» — так бывает, но не обязательно и не у всех. «Обычно» — в большинстве случаев, но бывают исключения. «Редко» — бывает, но нечасто. Не читайте «может» как «обязательно будет», а «обычно» — как «всегда».</w:t>
      </w:r>
    </w:p>
    <w:p>
      <w:r>
        <w:pict>
          <v:rect style="width:0;height:1.5pt" o:hralign="center" o:hrstd="t" o:hr="t"/>
        </w:pict>
      </w:r>
    </w:p>
    <w:bookmarkEnd w:id="47"/>
    <w:bookmarkEnd w:id="48"/>
    <w:bookmarkEnd w:id="49"/>
    <w:bookmarkStart w:id="54" w:name="Xf50cfb8f07d4e975983b416e4b3d4cd8a3d417b"/>
    <w:p>
      <w:pPr>
        <w:pStyle w:val="Heading2"/>
      </w:pPr>
      <w:r>
        <w:t xml:space="preserve">Приложение 4.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50" w:name="где-искать"/>
    <w:p>
      <w:pPr>
        <w:pStyle w:val="Heading3"/>
      </w:pPr>
      <w:r>
        <w:t xml:space="preserve">Где искать</w:t>
      </w:r>
    </w:p>
    <w:p>
      <w:pPr>
        <w:numPr>
          <w:ilvl w:val="0"/>
          <w:numId w:val="1004"/>
        </w:numPr>
        <w:pStyle w:val="Compact"/>
      </w:pPr>
      <w:r>
        <w:rPr>
          <w:bCs/>
          <w:b/>
        </w:rPr>
        <w:t xml:space="preserve">Клинические рекомендации Минздрава России</w:t>
      </w:r>
      <w:r>
        <w:t xml:space="preserve"> </w:t>
      </w:r>
      <w:r>
        <w:t xml:space="preserve">— документы, по которым врачи обследуют и лечат (что такое клинические рекомендации — Приложение 3).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4"/>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(Приложение 5).</w:t>
      </w:r>
    </w:p>
    <w:p>
      <w:pPr>
        <w:numPr>
          <w:ilvl w:val="0"/>
          <w:numId w:val="1004"/>
        </w:numPr>
        <w:pStyle w:val="Compact"/>
      </w:pPr>
      <w:r>
        <w:rPr>
          <w:bCs/>
          <w:b/>
        </w:rPr>
        <w:t xml:space="preserve">Сайты Минздрава, государственных больниц и медицинских университетов.</w:t>
      </w:r>
    </w:p>
    <w:bookmarkEnd w:id="50"/>
    <w:bookmarkStart w:id="51" w:name="можно-ли-верить-тексту-четыре-вопроса"/>
    <w:p>
      <w:pPr>
        <w:pStyle w:val="Heading3"/>
      </w:pPr>
      <w:r>
        <w:t xml:space="preserve">Можно ли верить тексту: четыре вопроса</w:t>
      </w:r>
    </w:p>
    <w:p>
      <w:pPr>
        <w:numPr>
          <w:ilvl w:val="0"/>
          <w:numId w:val="1005"/>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5"/>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5"/>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5"/>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 (Тема 10, раздел 10.9).</w:t>
      </w:r>
    </w:p>
    <w:p>
      <w:pPr>
        <w:pStyle w:val="BodyText"/>
      </w:pPr>
      <w:r>
        <w:t xml:space="preserve">Проще всего проверить текст с помощью искусственного интеллекта — запрос 1 ниже.</w:t>
      </w:r>
    </w:p>
    <w:bookmarkEnd w:id="51"/>
    <w:bookmarkStart w:id="52"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6"/>
        </w:numPr>
        <w:pStyle w:val="Compact"/>
      </w:pPr>
      <w:r>
        <w:t xml:space="preserve">Копируйте запрос из книги целиком и впишите своё вместо пропусков.</w:t>
      </w:r>
    </w:p>
    <w:p>
      <w:pPr>
        <w:numPr>
          <w:ilvl w:val="0"/>
          <w:numId w:val="1006"/>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6"/>
        </w:numPr>
        <w:pStyle w:val="Compact"/>
      </w:pPr>
      <w:r>
        <w:t xml:space="preserve">Не вводите фамилию, номер полиса, фотографии документов: для ответа они не нужны.</w:t>
      </w:r>
    </w:p>
    <w:p>
      <w:pPr>
        <w:numPr>
          <w:ilvl w:val="0"/>
          <w:numId w:val="1006"/>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52"/>
    <w:bookmarkStart w:id="53"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 Запросы о лекарствах — в Приложении 5.</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Еда, напиток, витамин, трава</w:t>
      </w:r>
    </w:p>
    <w:p>
      <w:pPr>
        <w:pStyle w:val="BlockText"/>
      </w:pPr>
      <w:r>
        <w:t xml:space="preserve">Я беременна, срок ___ недель. Можно ли мне ___ (продукт, напиток, витамин, добавку или травяной чай)? Если есть ограничения по количеству или по тому, как это приготовлено,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Занятие, процедура, поездка</w:t>
      </w:r>
    </w:p>
    <w:p>
      <w:pPr>
        <w:pStyle w:val="BlockText"/>
      </w:pPr>
      <w:r>
        <w:t xml:space="preserve">Я беременна, срок ___ недель. Можно ли мне ___ (например: покрасить волосы, сходить в баню, на массаж, полететь на самолёте, бегать, убираться с бытовой химией)? Чем это может быть опасно, какие меры предосторожности советуют и при каких осложнениях беременности этого делать не стоит.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Инфекция, контакт с заболевшим, прививка</w:t>
      </w:r>
    </w:p>
    <w:p>
      <w:pPr>
        <w:pStyle w:val="BlockText"/>
      </w:pPr>
      <w:r>
        <w:t xml:space="preserve">Я беременна, срок ___ недель. ___ (например: у ребёнка в семье ветрянка; меня укусил клещ; мне предлагают прививку от гриппа). Что это значит при беременности, что мне сделать и в какие сроки, когда сообщить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Уже случилось</w:t>
      </w:r>
    </w:p>
    <w:p>
      <w:pPr>
        <w:pStyle w:val="BlockText"/>
      </w:pPr>
      <w:r>
        <w:t xml:space="preserve">Я беременна, срок ___ недель. ___ (что произошло и когда: выпила алкоголь, сделала рентген, покрасила волосы). Что известно о таком воздействии на моём сроке? Сравни с тем, как часто такие же исходы бывают при беременности и без этого.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8.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r>
        <w:pict>
          <v:rect style="width:0;height:1.5pt" o:hralign="center" o:hrstd="t" o:hr="t"/>
        </w:pict>
      </w:r>
    </w:p>
    <w:bookmarkEnd w:id="53"/>
    <w:bookmarkEnd w:id="54"/>
    <w:bookmarkStart w:id="60" w:name="приложение-5.-как-проверить-лекарство"/>
    <w:p>
      <w:pPr>
        <w:pStyle w:val="Heading2"/>
      </w:pPr>
      <w:r>
        <w:t xml:space="preserve">Приложение 5. Как проверить лекарство</w:t>
      </w:r>
    </w:p>
    <w:p>
      <w:pPr>
        <w:pStyle w:val="FirstParagraph"/>
      </w:pPr>
      <w:r>
        <w:t xml:space="preserve">Если вы сомневаетесь, можно ли вам лекарство, витамин или травяной чай, сделайте три шага.</w:t>
      </w:r>
    </w:p>
    <w:bookmarkStart w:id="55" w:name="шаг-1.-посмотрите-на-упаковку"/>
    <w:p>
      <w:pPr>
        <w:pStyle w:val="Heading3"/>
      </w:pPr>
      <w:r>
        <w:t xml:space="preserve">Шаг 1. Посмотрите на упаковку</w:t>
      </w:r>
    </w:p>
    <w:p>
      <w:pPr>
        <w:pStyle w:val="FirstParagraph"/>
      </w:pPr>
      <w:r>
        <w:t xml:space="preserve">Найдите действующее вещество — оно написано мелким шрифтом под названием. Запомните или сфотографируйте его. По действующему веществу видно, не принимаете ли вы одно и то же в двух разных средствах: например, парацетамол бывает и в таблетках от температуры, и в порошках от простуды, и дозы складываются (Тема 7, раздел 7.3).</w:t>
      </w:r>
    </w:p>
    <w:bookmarkEnd w:id="55"/>
    <w:bookmarkStart w:id="56" w:name="шаг-2.-спросите-ии"/>
    <w:p>
      <w:pPr>
        <w:pStyle w:val="Heading3"/>
      </w:pPr>
      <w:r>
        <w:t xml:space="preserve">Шаг 2. Спросите ИИ</w:t>
      </w:r>
    </w:p>
    <w:p>
      <w:pPr>
        <w:pStyle w:val="FirstParagraph"/>
      </w:pPr>
      <w:r>
        <w:t xml:space="preserve">Это необязательный шаг: он поможет понять, что спросить у врача. Скопируйте запрос целиком и впишите своё вместо пропусков.</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6"/>
    <w:bookmarkStart w:id="57" w:name="шаг-3.-спросите-врача"/>
    <w:p>
      <w:pPr>
        <w:pStyle w:val="Heading3"/>
      </w:pPr>
      <w:r>
        <w:t xml:space="preserve">Шаг 3. Спросите врача</w:t>
      </w:r>
    </w:p>
    <w:p>
      <w:pPr>
        <w:pStyle w:val="FirstParagraph"/>
      </w:pP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7"/>
        </w:numPr>
        <w:pStyle w:val="Compact"/>
      </w:pPr>
      <w:r>
        <w:t xml:space="preserve">что будет, если не принимать;</w:t>
      </w:r>
    </w:p>
    <w:p>
      <w:pPr>
        <w:numPr>
          <w:ilvl w:val="0"/>
          <w:numId w:val="1007"/>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 (Приложение 3).</w:t>
      </w:r>
    </w:p>
    <w:bookmarkEnd w:id="57"/>
    <w:bookmarkStart w:id="58" w:name="если-лекарство-уже-приняли"/>
    <w:p>
      <w:pPr>
        <w:pStyle w:val="Heading3"/>
      </w:pPr>
      <w:r>
        <w:t xml:space="preserve">Если лекарство уже приняли</w:t>
      </w:r>
    </w:p>
    <w:p>
      <w:pPr>
        <w:numPr>
          <w:ilvl w:val="0"/>
          <w:numId w:val="1008"/>
        </w:numPr>
        <w:pStyle w:val="Compact"/>
      </w:pPr>
      <w:r>
        <w:t xml:space="preserve">Ничего не «компенсируйте»: не пейте много воды, не вызывайте рвоту, не принимайте сорбенты.</w:t>
      </w:r>
    </w:p>
    <w:p>
      <w:pPr>
        <w:numPr>
          <w:ilvl w:val="0"/>
          <w:numId w:val="1008"/>
        </w:numPr>
        <w:pStyle w:val="Compact"/>
      </w:pPr>
      <w:r>
        <w:t xml:space="preserve">Не бросайте лекарство, которое назначил врач.</w:t>
      </w:r>
    </w:p>
    <w:p>
      <w:pPr>
        <w:numPr>
          <w:ilvl w:val="0"/>
          <w:numId w:val="1008"/>
        </w:numPr>
        <w:pStyle w:val="Compact"/>
      </w:pPr>
      <w:r>
        <w:t xml:space="preserve">Запишите, что приняли, сколько, когда и на каком сроке. Сохраните упаковку или сфотографируйте её.</w:t>
      </w:r>
    </w:p>
    <w:p>
      <w:pPr>
        <w:numPr>
          <w:ilvl w:val="0"/>
          <w:numId w:val="1008"/>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8"/>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t xml:space="preserve">Подробнее — Тема 7, раздел 7.16. 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8"/>
    <w:bookmarkStart w:id="59" w:name="если-хотите-проверить-сами"/>
    <w:p>
      <w:pPr>
        <w:pStyle w:val="Heading3"/>
      </w:pPr>
      <w:r>
        <w:t xml:space="preserve">Если хотите проверить сами</w:t>
      </w:r>
    </w:p>
    <w:p>
      <w:pPr>
        <w:numPr>
          <w:ilvl w:val="0"/>
          <w:numId w:val="1009"/>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9"/>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9"/>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9"/>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r>
        <w:pict>
          <v:rect style="width:0;height:1.5pt" o:hralign="center" o:hrstd="t" o:hr="t"/>
        </w:pict>
      </w:r>
    </w:p>
    <w:bookmarkEnd w:id="59"/>
    <w:bookmarkEnd w:id="60"/>
    <w:bookmarkStart w:id="69"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Уровни срочности Приложения 1 перенесены из Темы 11 (бывшая таблица раздела 11.6) — их источники в списке Темы 11 с отметкой «11.6».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3), как проверять информацию и спрашивать ИИ (Приложение 4), ресурсы проверки лекарств (Приложение 5).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10"/>
        </w:numPr>
        <w:pStyle w:val="Compact"/>
      </w:pPr>
      <w:r>
        <w:t xml:space="preserve">National Library of Medicine (США), MedlinePlus.</w:t>
      </w:r>
      <w:r>
        <w:t xml:space="preserve"> </w:t>
      </w:r>
      <w:hyperlink r:id="rId61">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4, «Можно ли верить тексту: четыре вопроса»).</w:t>
      </w:r>
    </w:p>
    <w:p>
      <w:pPr>
        <w:numPr>
          <w:ilvl w:val="0"/>
          <w:numId w:val="1010"/>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4,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0"/>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4, «Где искать»).</w:t>
      </w:r>
      <w:r>
        <w:t xml:space="preserve"> </w:t>
      </w:r>
      <w:hyperlink r:id="rId62">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0"/>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(Приложение 5).</w:t>
      </w:r>
      <w:r>
        <w:t xml:space="preserve"> </w:t>
      </w:r>
      <w:hyperlink r:id="rId63">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(Приложение 5).</w:t>
      </w:r>
      <w:r>
        <w:t xml:space="preserve"> </w:t>
      </w:r>
      <w:r>
        <w:rPr>
          <w:iCs/>
          <w:i/>
        </w:rPr>
        <w:t xml:space="preserve">ГРЛС закрыт для машинной проверки; порядок работы сверен по пересказу.</w:t>
      </w:r>
    </w:p>
    <w:p>
      <w:pPr>
        <w:numPr>
          <w:ilvl w:val="0"/>
          <w:numId w:val="1010"/>
        </w:numPr>
        <w:pStyle w:val="Compact"/>
      </w:pPr>
      <w:r>
        <w:t xml:space="preserve">Росздравнадзор.</w:t>
      </w:r>
      <w:r>
        <w:t xml:space="preserve"> </w:t>
      </w:r>
      <w:hyperlink r:id="rId64">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(Приложение 5).</w:t>
      </w:r>
      <w:r>
        <w:t xml:space="preserve"> </w:t>
      </w:r>
      <w:r>
        <w:rPr>
          <w:iCs/>
          <w:i/>
        </w:rPr>
        <w:t xml:space="preserve">Даты обновления данных на странице нет.</w:t>
      </w:r>
    </w:p>
    <w:p>
      <w:pPr>
        <w:numPr>
          <w:ilvl w:val="0"/>
          <w:numId w:val="1010"/>
        </w:numPr>
        <w:pStyle w:val="Compact"/>
      </w:pPr>
      <w:r>
        <w:t xml:space="preserve">Росздравнадзор.</w:t>
      </w:r>
      <w:r>
        <w:t xml:space="preserve"> </w:t>
      </w:r>
      <w:hyperlink r:id="rId65">
        <w:r>
          <w:rPr>
            <w:rStyle w:val="Hyperlink"/>
          </w:rPr>
          <w:t xml:space="preserve">Единый реестр лицензий</w:t>
        </w:r>
      </w:hyperlink>
      <w:r>
        <w:t xml:space="preserve"> </w:t>
      </w:r>
      <w:r>
        <w:t xml:space="preserve">— поиск организации по названию, ИНН, ОГРН (Приложение 5).</w:t>
      </w:r>
    </w:p>
    <w:p>
      <w:pPr>
        <w:numPr>
          <w:ilvl w:val="0"/>
          <w:numId w:val="1010"/>
        </w:numPr>
        <w:pStyle w:val="Compact"/>
      </w:pPr>
      <w:r>
        <w:t xml:space="preserve">Оператор системы маркировки «Честный знак» (ООО «Оператор-ЦРПТ»).</w:t>
      </w:r>
      <w:r>
        <w:t xml:space="preserve"> </w:t>
      </w:r>
      <w:hyperlink r:id="rId66">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(Приложение 5).</w:t>
      </w:r>
      <w:r>
        <w:t xml:space="preserve"> </w:t>
      </w:r>
      <w:r>
        <w:rPr>
          <w:iCs/>
          <w:i/>
        </w:rPr>
        <w:t xml:space="preserve">Главная страница и сайт оператора для машинной проверки не открылись.</w:t>
      </w:r>
    </w:p>
    <w:p>
      <w:pPr>
        <w:numPr>
          <w:ilvl w:val="0"/>
          <w:numId w:val="1010"/>
        </w:numPr>
        <w:pStyle w:val="Compact"/>
      </w:pPr>
      <w:r>
        <w:t xml:space="preserve">Росздравнадзор.</w:t>
      </w:r>
      <w:r>
        <w:t xml:space="preserve"> </w:t>
      </w:r>
      <w:hyperlink r:id="rId67">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(Приложение 5).</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0"/>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3);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Минздрава России (Приложение 3, «Клинический»).</w:t>
      </w:r>
      <w:r>
        <w:t xml:space="preserve"> </w:t>
      </w:r>
      <w:r>
        <w:rPr>
          <w:iCs/>
          <w:i/>
        </w:rPr>
        <w:t xml:space="preserve">Статья 37 — по знанию редакции закона, не сверена 20.10.2026: сверить.</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10"/>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8">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2" Type="http://schemas.openxmlformats.org/officeDocument/2006/relationships/hyperlink" Target="https://cr.minzdrav.gov.ru/" TargetMode="External"/><Relationship Id="rId63" Type="http://schemas.openxmlformats.org/officeDocument/2006/relationships/hyperlink" Target="https://grls.rosminzdrav.ru/" TargetMode="External"/><Relationship Id="rId61" Type="http://schemas.openxmlformats.org/officeDocument/2006/relationships/hyperlink" Target="https://medlineplus.gov/evaluatinghealthinformation.html" TargetMode="External"/><Relationship Id="rId68" Type="http://schemas.openxmlformats.org/officeDocument/2006/relationships/hyperlink" Target="https://pravo.ppt.ru/klinicheskie-rekomendatsii/302353" TargetMode="External"/><Relationship Id="rId67" Type="http://schemas.openxmlformats.org/officeDocument/2006/relationships/hyperlink" Target="https://roszdravnadzor.gov.ru/drugs/monitpringlp/faq/c1012/25" TargetMode="External"/><Relationship Id="rId65" Type="http://schemas.openxmlformats.org/officeDocument/2006/relationships/hyperlink" Target="https://roszdravnadzor.gov.ru/services/licenses" TargetMode="External"/><Relationship Id="rId64" Type="http://schemas.openxmlformats.org/officeDocument/2006/relationships/hyperlink" Target="https://roszdravnadzor.gov.ru/services/lssearch" TargetMode="External"/><Relationship Id="rId66"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cr.minzdrav.gov.ru/" TargetMode="External"/><Relationship Id="rId63" Type="http://schemas.openxmlformats.org/officeDocument/2006/relationships/hyperlink" Target="https://grls.rosminzdrav.ru/" TargetMode="External"/><Relationship Id="rId61" Type="http://schemas.openxmlformats.org/officeDocument/2006/relationships/hyperlink" Target="https://medlineplus.gov/evaluatinghealthinformation.html" TargetMode="External"/><Relationship Id="rId68" Type="http://schemas.openxmlformats.org/officeDocument/2006/relationships/hyperlink" Target="https://pravo.ppt.ru/klinicheskie-rekomendatsii/302353" TargetMode="External"/><Relationship Id="rId67" Type="http://schemas.openxmlformats.org/officeDocument/2006/relationships/hyperlink" Target="https://roszdravnadzor.gov.ru/drugs/monitpringlp/faq/c1012/25" TargetMode="External"/><Relationship Id="rId65" Type="http://schemas.openxmlformats.org/officeDocument/2006/relationships/hyperlink" Target="https://roszdravnadzor.gov.ru/services/licenses" TargetMode="External"/><Relationship Id="rId64" Type="http://schemas.openxmlformats.org/officeDocument/2006/relationships/hyperlink" Target="https://roszdravnadzor.gov.ru/services/lssearch" TargetMode="External"/><Relationship Id="rId66"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2026-10-20T12:36:56Z</dcterms:created>
  <dcterms:modified xsi:type="dcterms:W3CDTF">2026-10-20T12:36:56Z</dcterms:modified>
</cp:coreProperties>
</file>

<file path=docProps/custom.xml><?xml version="1.0" encoding="utf-8"?>
<Properties xmlns="http://schemas.openxmlformats.org/officeDocument/2006/custom-properties" xmlns:vt="http://schemas.openxmlformats.org/officeDocument/2006/docPropsVTypes"/>
</file>