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
    <w:p>
      <w:pPr/>
    </w:p>
    <w:p>
      <w:pPr/>
    </w:p>
    <w:p>
      <w:pPr/>
    </w:p>
    <w:p>
      <w:pPr/>
    </w:p>
    <w:p>
      <w:pPr/>
    </w:p>
    <w:p>
      <w:pPr/>
    </w:p>
    <w:p>
      <w:pPr>
        <w:jc w:val="center"/>
      </w:pPr>
      <w:r>
        <w:rPr>
          <w:b/>
          <w:color w:val="1A1A2E"/>
          <w:sz w:val="64"/>
        </w:rPr>
        <w:t>冰皮榴莲月饼赛道</w:t>
      </w:r>
    </w:p>
    <w:p>
      <w:pPr>
        <w:jc w:val="center"/>
      </w:pPr>
      <w:r>
        <w:rPr>
          <w:b/>
          <w:color w:val="1A1A2E"/>
          <w:sz w:val="64"/>
        </w:rPr>
        <w:t>品牌营销分析</w:t>
      </w:r>
    </w:p>
    <w:p>
      <w:pPr/>
    </w:p>
    <w:p>
      <w:pPr>
        <w:jc w:val="center"/>
      </w:pPr>
      <w:r>
        <w:rPr>
          <w:color w:val="666666"/>
          <w:sz w:val="32"/>
        </w:rPr>
        <w:t>燃创咨询 · 赛道竞争格局研究</w:t>
      </w:r>
    </w:p>
    <w:p>
      <w:pPr/>
    </w:p>
    <w:p>
      <w:pPr/>
    </w:p>
    <w:p>
      <w:pPr>
        <w:jc w:val="center"/>
      </w:pPr>
      <w:r>
        <w:rPr>
          <w:color w:val="999999"/>
          <w:sz w:val="28"/>
        </w:rPr>
        <w:t>2026年8月11日</w:t>
      </w:r>
    </w:p>
    <w:p>
      <w:pPr/>
    </w:p>
    <w:p>
      <w:pPr>
        <w:jc w:val="center"/>
      </w:pPr>
      <w:r>
        <w:t>━━━━━━━━━━━━━━━━━━━━━━━━━━━━━━━━━━━━━━━━</w:t>
      </w:r>
    </w:p>
    <w:p>
      <w:r>
        <w:br w:type="page"/>
      </w:r>
    </w:p>
    <w:p>
      <w:pPr>
        <w:pStyle w:val="Heading1"/>
        <w:jc w:val="center"/>
      </w:pPr>
      <w:r>
        <w:t>目 录</w:t>
      </w:r>
    </w:p>
    <w:p>
      <w:r>
        <w:t>（在 Word 中右键此处，选择"更新域"以生成目录页码）</w:t>
        <w:fldChar w:fldCharType="end"/>
      </w:r>
    </w:p>
    <w:p>
      <w:r>
        <w:br w:type="page"/>
      </w:r>
    </w:p>
    <w:p>
      <w:pPr>
        <w:pStyle w:val="Heading1"/>
      </w:pPr>
      <w:r>
        <w:t>第一章 市场概览</w:t>
      </w:r>
    </w:p>
    <w:p>
      <w:pPr>
        <w:spacing w:after="160"/>
      </w:pPr>
      <w:r>
        <w:rPr>
          <w:b/>
          <w:i/>
          <w:sz w:val="22"/>
        </w:rPr>
        <w:t>核心摘要：中国月饼礼盒市场规模稳步增长，2025年预计达247亿元。新式口味尤其是榴莲冰皮品类持续蚕食传统份额，榴莲口味从边缘风味走向主流选择，完整的冷链基础设施和榴莲供应链整合成为品类扩张的关键支撑。</w:t>
      </w:r>
    </w:p>
    <w:p>
      <w:pPr>
        <w:pStyle w:val="Heading2"/>
      </w:pPr>
      <w:r>
        <w:t>1.1 月饼整体市场</w:t>
      </w:r>
    </w:p>
    <w:p>
      <w:pPr/>
      <w:r>
        <w:t>中国月饼市场是一个高度季节性但规模庞大的消费赛道。艾媒咨询数据显示，中国月饼礼盒市场规模2025年预计达247亿元，2015至2022年间产量逐年攀升。市场呈现明显的头部集中特征，传统品牌如美心、广州酒家、陶陶居、华美等占据主要市场份额，但新式口味和DTC品牌正在持续切割存量。</w:t>
      </w:r>
    </w:p>
    <w:p>
      <w:pPr/>
      <w:r>
        <w:t>从品类结构看，传统广式莲蓉蛋黄仍是最大单一口味，但份额逐年下降。流心奶黄和冰皮榴莲两大新式口味增长强劲。FDL数食主张统计显示，仅在京东单一平台，榴莲口味月饼的销售额份额已从早期的5.6%攀升至16.1%，成为增长最快的口味赛道之一。</w:t>
      </w:r>
    </w:p>
    <w:p>
      <w:pPr>
        <w:pStyle w:val="Heading2"/>
      </w:pPr>
      <w:r>
        <w:t>1.2 冰皮榴莲细分品类</w:t>
      </w:r>
    </w:p>
    <w:p>
      <w:pPr/>
      <w:r>
        <w:t>冰皮榴莲月饼的核心创新来自两个维度：原料端用榴莲果肉替代传统莲蓉豆沙馅料，工艺端用不烘烤的糯米冰皮替代传统烤制饼皮。行业标杆工艺为4mm厚度的冰皮经反复捶打制成，包裹60%以上比例的榴莲果肉内馅，全程-18℃冷链配送至消费者手中。</w:t>
      </w:r>
    </w:p>
    <w:p>
      <w:pPr/>
      <w:r>
        <w:t>这个品类的高壁垒体现在两个层面。第一是原料壁垒：优质榴莲（特别是猫山王）完全依赖马来西亚和泰国进口，供应商集中度高，品牌需要稳定的上游关系。第二是冷链壁垒：产品从出厂到消费者打开的全程需要冷冻环境，物流成本显著高于常温月饼，但也因此过滤了大量中小玩家，形成了有效的竞争护城河。</w:t>
      </w:r>
    </w:p>
    <w:p>
      <w:pPr>
        <w:pStyle w:val="Heading2"/>
      </w:pPr>
      <w:r>
        <w:t>1.3 品质趋势与竞争信号</w:t>
      </w:r>
    </w:p>
    <w:p>
      <w:pPr/>
      <w:r>
        <w:t>2026年首届亚洲榴莲盛会的召开标志着榴莲产业链加速整合。供应链上游企业（大嘴鸟等）引入AI分选技术提升榴莲品质一致性，为品牌大规模采购奠定基础。海南三亚育才生态区开始开发榴莲糖、榴莲冻干、榴莲冰皮月饼、榴莲千层等系列产品，显示产业链向下游加工延伸的趋势。</w:t>
      </w:r>
    </w:p>
    <w:p>
      <w:pPr/>
      <w:r>
        <w:t>零售渠道端，山姆会员店中秋前夜的榴莲冰皮月饼限时购成为现象级案例，单晚GMV突破5000万元。这表明线下精品零售渠道对该品类的推动作用不可忽视，冰皮榴莲月饼已不仅是电商爆品，也是线下渠道吸引年轻客群的重要品类。</w:t>
      </w:r>
    </w:p>
    <w:p>
      <w:r>
        <w:br w:type="page"/>
      </w:r>
    </w:p>
    <w:p>
      <w:pPr>
        <w:pStyle w:val="Heading1"/>
      </w:pPr>
      <w:r>
        <w:t>第二章 榴莲供应链分析</w:t>
      </w:r>
    </w:p>
    <w:p>
      <w:pPr>
        <w:spacing w:after="160"/>
      </w:pPr>
      <w:r>
        <w:rPr>
          <w:b/>
          <w:i/>
          <w:sz w:val="22"/>
        </w:rPr>
        <w:t>核心摘要：榴莲品种的层级格局直接划定了冰皮榴莲月饼品牌的价格带和竞争生态位。猫山王占据金字塔尖，黑刺作为新兴超高端品种正在进入品类视野。洪九果品等上游分销商掌握产地资源，对下游品牌拥有显著议价权，供应链能力是品牌最核心的竞争壁垒。</w:t>
      </w:r>
    </w:p>
    <w:p>
      <w:pPr>
        <w:pStyle w:val="Heading2"/>
      </w:pPr>
      <w:r>
        <w:t>2.1 榴莲品种竞争格局</w:t>
      </w:r>
    </w:p>
    <w:p>
      <w:pPr/>
      <w:r>
        <w:t>冰皮榴莲月饼品类的定价分层本质上是榴莲品种的分层。猫山王（D197）来自马来西亚，被誉为榴莲界的爱马仕，果肉金黄、口感浓郁甘苦，是目前冰皮榴莲月饼最高端的品种选项，代表品牌包括美心和榴莲西施。苏丹王同样来自马来西亚，风味较猫山王温和，果肉偏淡黄，成本较低，是陶陶居等性价比起见品牌的首选品种。金枕（Monthong）产自泰国，产量最大、价格最低，是大众价位月饼品牌通用的榴莲原料。</w:t>
      </w:r>
    </w:p>
    <w:p>
      <w:pPr/>
      <w:r>
        <w:t>黑刺（Black Thorn）作为猫山王之后马来西亚力推的新兴品种，果肉橙黄、口感更为creamy，已经开始被东泰一個寳等先锋品牌引入冰皮月饼产品线，定价高于常规猫山王产品，瞄准超高端细分市场。</w:t>
      </w:r>
    </w:p>
    <w:p>
      <w:pPr/>
      <w:r>
        <w:rPr>
          <w:b/>
        </w:rPr>
        <w:t>榴莲品种对比</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Borders>
              <w:start w:val="single" w:sz="6" w:color="999999"/>
              <w:top w:val="single" w:sz="6" w:color="999999"/>
              <w:end w:val="single" w:sz="6" w:color="999999"/>
              <w:bottom w:val="single" w:sz="6" w:color="999999"/>
            </w:tcBorders>
            <w:shd w:fill="D9E2F3"/>
          </w:tcPr>
          <w:p>
            <w:pPr>
              <w:spacing w:before="40" w:after="40"/>
            </w:pPr>
            <w:r>
              <w:rPr>
                <w:rFonts w:ascii="微软雅黑" w:hAnsi="微软雅黑" w:eastAsia="微软雅黑"/>
                <w:b/>
                <w:sz w:val="20"/>
              </w:rPr>
              <w:t>品种</w:t>
            </w:r>
          </w:p>
        </w:tc>
        <w:tc>
          <w:tcPr>
            <w:tcW w:type="dxa" w:w="1814"/>
            <w:tcBorders>
              <w:start w:val="single" w:sz="6" w:color="999999"/>
              <w:top w:val="single" w:sz="6" w:color="999999"/>
              <w:end w:val="single" w:sz="6" w:color="999999"/>
              <w:bottom w:val="single" w:sz="6" w:color="999999"/>
            </w:tcBorders>
            <w:shd w:fill="D9E2F3"/>
          </w:tcPr>
          <w:p>
            <w:pPr>
              <w:spacing w:before="40" w:after="40"/>
            </w:pPr>
            <w:r>
              <w:rPr>
                <w:rFonts w:ascii="微软雅黑" w:hAnsi="微软雅黑" w:eastAsia="微软雅黑"/>
                <w:b/>
                <w:sz w:val="20"/>
              </w:rPr>
              <w:t>产地</w:t>
            </w:r>
          </w:p>
        </w:tc>
        <w:tc>
          <w:tcPr>
            <w:tcW w:type="dxa" w:w="1814"/>
            <w:tcBorders>
              <w:start w:val="single" w:sz="6" w:color="999999"/>
              <w:top w:val="single" w:sz="6" w:color="999999"/>
              <w:end w:val="single" w:sz="6" w:color="999999"/>
              <w:bottom w:val="single" w:sz="6" w:color="999999"/>
            </w:tcBorders>
            <w:shd w:fill="D9E2F3"/>
          </w:tcPr>
          <w:p>
            <w:pPr>
              <w:spacing w:before="40" w:after="40"/>
            </w:pPr>
            <w:r>
              <w:rPr>
                <w:rFonts w:ascii="微软雅黑" w:hAnsi="微软雅黑" w:eastAsia="微软雅黑"/>
                <w:b/>
                <w:sz w:val="20"/>
              </w:rPr>
              <w:t>定位</w:t>
            </w:r>
          </w:p>
        </w:tc>
        <w:tc>
          <w:tcPr>
            <w:tcW w:type="dxa" w:w="1814"/>
            <w:tcBorders>
              <w:start w:val="single" w:sz="6" w:color="999999"/>
              <w:top w:val="single" w:sz="6" w:color="999999"/>
              <w:end w:val="single" w:sz="6" w:color="999999"/>
              <w:bottom w:val="single" w:sz="6" w:color="999999"/>
            </w:tcBorders>
            <w:shd w:fill="D9E2F3"/>
          </w:tcPr>
          <w:p>
            <w:pPr>
              <w:spacing w:before="40" w:after="40"/>
            </w:pPr>
            <w:r>
              <w:rPr>
                <w:rFonts w:ascii="微软雅黑" w:hAnsi="微软雅黑" w:eastAsia="微软雅黑"/>
                <w:b/>
                <w:sz w:val="20"/>
              </w:rPr>
              <w:t>代表品牌</w:t>
            </w:r>
          </w:p>
        </w:tc>
        <w:tc>
          <w:tcPr>
            <w:tcW w:type="dxa" w:w="1814"/>
            <w:tcBorders>
              <w:start w:val="single" w:sz="6" w:color="999999"/>
              <w:top w:val="single" w:sz="6" w:color="999999"/>
              <w:end w:val="single" w:sz="6" w:color="999999"/>
              <w:bottom w:val="single" w:sz="6" w:color="999999"/>
            </w:tcBorders>
            <w:shd w:fill="D9E2F3"/>
          </w:tcPr>
          <w:p>
            <w:pPr>
              <w:spacing w:before="40" w:after="40"/>
            </w:pPr>
            <w:r>
              <w:rPr>
                <w:rFonts w:ascii="微软雅黑" w:hAnsi="微软雅黑" w:eastAsia="微软雅黑"/>
                <w:b/>
                <w:sz w:val="20"/>
              </w:rPr>
              <w:t>价格参考区间</w:t>
            </w:r>
          </w:p>
        </w:tc>
      </w:tr>
      <w:tr>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猫山王 D197</w:t>
            </w:r>
          </w:p>
        </w:tc>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马来西亚</w:t>
            </w:r>
          </w:p>
        </w:tc>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顶级高端</w:t>
            </w:r>
          </w:p>
        </w:tc>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美心、榴莲西施</w:t>
            </w:r>
          </w:p>
        </w:tc>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200-400元/盒</w:t>
            </w:r>
          </w:p>
        </w:tc>
      </w:tr>
      <w:tr>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黑刺</w:t>
            </w:r>
          </w:p>
        </w:tc>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马来西亚</w:t>
            </w:r>
          </w:p>
        </w:tc>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超高端新兴</w:t>
            </w:r>
          </w:p>
        </w:tc>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东泰一個寳</w:t>
            </w:r>
          </w:p>
        </w:tc>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350-500元/盒</w:t>
            </w:r>
          </w:p>
        </w:tc>
      </w:tr>
      <w:tr>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苏丹王</w:t>
            </w:r>
          </w:p>
        </w:tc>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马来西亚</w:t>
            </w:r>
          </w:p>
        </w:tc>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中高端性价比</w:t>
            </w:r>
          </w:p>
        </w:tc>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陶陶居</w:t>
            </w:r>
          </w:p>
        </w:tc>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100-200元/盒</w:t>
            </w:r>
          </w:p>
        </w:tc>
      </w:tr>
      <w:tr>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金枕 Monthong</w:t>
            </w:r>
          </w:p>
        </w:tc>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泰国</w:t>
            </w:r>
          </w:p>
        </w:tc>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大众价位</w:t>
            </w:r>
          </w:p>
        </w:tc>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广州酒家、大众品牌</w:t>
            </w:r>
          </w:p>
        </w:tc>
        <w:tc>
          <w:tcPr>
            <w:tcW w:type="dxa" w:w="1814"/>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80-150元/盒</w:t>
            </w:r>
          </w:p>
        </w:tc>
      </w:tr>
    </w:tbl>
    <w:p>
      <w:pPr/>
    </w:p>
    <w:p>
      <w:pPr>
        <w:pStyle w:val="Heading2"/>
      </w:pPr>
      <w:r>
        <w:t>2.2 供应链上游玩家</w:t>
      </w:r>
    </w:p>
    <w:p>
      <w:pPr/>
      <w:r>
        <w:t>洪九果品是中国最大的榴莲分销商，也是中国水果行业第一家港股上市公司（2022年上市，被称为中国水果第一股）。按2021年销售收入计，洪九果品是中国最大的榴莲分销商，同时也是最大的自有品牌鲜果分销商和最大的东南亚进口水果分销商。公司以榴莲、山竹、龙眼、火龙果、樱桃、葡萄为核心品类，覆盖49个水果品种，供货超过2000家餐饮连锁品牌。</w:t>
      </w:r>
    </w:p>
    <w:p>
      <w:pPr/>
      <w:r>
        <w:t>洪九果品并不直接做月饼品牌，但它对整个冰皮榴莲月饼赛道的影响是决定性的。绝大多数冰皮榴莲月饼品牌的榴莲原料间接或直接来自洪九果品的供应链网络。品牌若想获得稳定、批量的优质猫山王或苏丹王原料，几乎绕不开洪九这样的头部分销商。上游资源的集中意味着下游品牌在原料端缺乏议价能力，榴莲品种的选择往往不是品牌主动决策的结果，而是供应链可获得性的结果。</w:t>
      </w:r>
    </w:p>
    <w:p>
      <w:pPr/>
      <w:r>
        <w:t>大嘴鸟是另一个值得关注的供应链玩家，定位为榴莲供应链技术型企业。公司拥有中国首条智能化榴莲AI检测分选线，并计划发布2026榴莲产业发展白皮书。AI分选技术解决了榴莲品质不一致的行业痛点，这对月饼品牌大规模采购时保证每批次榴莲果肉品质稳定性具有直接意义。大嘴鸟参加首届亚洲榴莲盛会也显示其从技术供应商向行业平台角色升级的策略。</w:t>
      </w:r>
    </w:p>
    <w:p>
      <w:pPr>
        <w:pStyle w:val="Heading2"/>
      </w:pPr>
      <w:r>
        <w:t>2.3 供应链对品牌竞争的影响</w:t>
      </w:r>
    </w:p>
    <w:p>
      <w:pPr/>
      <w:r>
        <w:t>榴莲品种选择直接决定了品牌在价格带上的生态位。选择猫山王的品牌天然进入200-400元的价格区间，选择苏丹王或金枕的品牌则被锁定在100-200元的大众区间。这不是品牌定位策略能随意调整的，而是供应链成本结构决定的刚性约束。</w:t>
      </w:r>
    </w:p>
    <w:p>
      <w:pPr/>
      <w:r>
        <w:t>冷链物流是冰皮榴莲月饼的生命线。产品全程需要-18℃冷冻配送，顺丰冷链几乎是行业标配。冷链成本在冰皮榴莲月饼的总成本中占比约15-20%，显著高于常规食品品类。对于品牌来说，冷链能力既是门槛也是竞争壁垒，已经建成的冷链配送网络使得新进入者难以在短期内形成规模优势。</w:t>
      </w:r>
    </w:p>
    <w:p>
      <w:pPr/>
      <w:r>
        <w:t>海南三亚育才生态区等地的国产榴莲种植和加工试验虽然值得关注，但现阶段体量极小。中国榴莲消费99%以上依赖从泰国和马来西亚进口，这一格局在未来3-5年内不会改变。品牌若想建立真正的品种独占性或产地直采优势，必须在马来西亚彭亨州或泰国东部产区建立稳固的合作关系。</w:t>
      </w:r>
    </w:p>
    <w:p>
      <w:r>
        <w:br w:type="page"/>
      </w:r>
    </w:p>
    <w:p>
      <w:pPr>
        <w:pStyle w:val="Heading1"/>
      </w:pPr>
      <w:r>
        <w:t>第三章 品牌竞争图谱</w:t>
      </w:r>
    </w:p>
    <w:p>
      <w:pPr>
        <w:spacing w:after="160"/>
      </w:pPr>
      <w:r>
        <w:rPr>
          <w:b/>
          <w:i/>
          <w:sz w:val="22"/>
        </w:rPr>
        <w:t>核心摘要：冰皮榴莲月饼赛道已形成三方势力格局：垂类新消费品牌（榴芒一刻、榴莲西施）凭借品类即品牌的认知占据用户心智；老字号延伸品牌（美心、陶陶居、广州酒家）以品牌信任和渠道基础防守式切入；供应链上游企业（洪九果品、大嘴鸟）虽不直接做品牌，但掌握最核心的原料话语权。</w:t>
      </w:r>
    </w:p>
    <w:p>
      <w:pPr>
        <w:pStyle w:val="Heading2"/>
      </w:pPr>
      <w:r>
        <w:t>3.1 榴芒一刻 —— 品类定义者</w:t>
      </w:r>
    </w:p>
    <w:p>
      <w:pPr/>
      <w:r>
        <w:t>榴芒一刻成立于2014年，总部位于广东东莞，是冰皮榴莲品类的定义者和样本品牌。创始人自称狂热的榴莲爱好者，品牌的基因从一开始就打上了榴莲垂类的烙印。榴芒一刻的核心爆品是爆浆榴莲冰皮月饼（600g/盒，100g×6枚），以全程冰鲜制作、无烘烤、外层糯米冰皮包裹大量榴莲肉为产品叙事。延伸产品线包括榴莲冰粽、榴莲冰淇淋等，在非中秋时段维持品牌热度。</w:t>
      </w:r>
    </w:p>
    <w:p>
      <w:pPr/>
      <w:r>
        <w:t>榴芒一刻的营销策略以每年仅中秋前约40天的限时售卖为核心，刻意制造稀缺感和仪式感。品牌将爆浆视觉作为传播锚点，在微信和抖音内容体系中反复强化榴莲果肉爆浆的画面。KOL和KOC种草是其最重要的获客手段，爱范儿、大熊讲等科技生活方式类账号均有长期合作。品牌声称一年有100万人惦记，这句话本身就是经典的心智占位话术。</w:t>
      </w:r>
    </w:p>
    <w:p>
      <w:pPr/>
      <w:r>
        <w:t>渠道方面，榴芒一刻构建了天猫旗舰店（品牌认知基本盘）+ 抖音电商（618大促新上榜品牌）+ 社区团购（名义初品、嗨团等广泛铺货）+ 私域运营（被见实等私域社群列为深度游学案例）的立体渠道矩阵。供应链方面，从采购-运输-仓储-清关-商城营销-物流-售后形成了完整闭环。价格带在188-298元/盒之间，团购渠道可低至188元。</w:t>
      </w:r>
    </w:p>
    <w:p>
      <w:pPr/>
      <w:r>
        <w:t>榴芒一刻验证了一个重要的商业模式：在高度季节性的品类中，用爆品限时 + 感官叙事 + 冷链基建的组合可以建立品类即品牌的认知。但其核心弱点在于季节依赖。中秋过后的约11个月里品牌声量大幅回落，需要靠榴莲冰粽、榴莲冰淇淋等衍生产品维持全年经营现金流。</w:t>
      </w:r>
    </w:p>
    <w:p>
      <w:pPr>
        <w:pStyle w:val="Heading2"/>
      </w:pPr>
      <w:r>
        <w:t>3.2 榴莲西施 —— 高端人格化品牌</w:t>
      </w:r>
    </w:p>
    <w:p>
      <w:pPr/>
      <w:r>
        <w:t>榴莲西施是广东高端榴莲月饼品牌的代表，品牌人格化程度在整个月饼行业都属于顶尖水平。创始人施威毕业于哈尔滨师范大学，出身书香门第，品牌故事围绕她个人对榴莲的热爱展开。创始人的形象、故事、品味被系统性地嵌入品牌传播的每一个环节，这种创始人IP策略在食品行业并不多见。</w:t>
      </w:r>
    </w:p>
    <w:p>
      <w:pPr/>
      <w:r>
        <w:t>产品方面，榴莲西施主打60%进口猫山王榴莲果肉填充，搭配新西兰乳制品，以猫山王品种的独占叙事作为核心差异化。规格包括50g×8枚等。品牌曾登上央视，这一背书在消费者决策中具有显著的信任加持效应。2016年猫山王冰皮榴莲月饼上市即卖出50万份，至今累计销量过百万盒。</w:t>
      </w:r>
    </w:p>
    <w:p>
      <w:pPr/>
      <w:r>
        <w:t>对比榴芒一刻，榴莲西施选择的是一条更高端的路线。榴芒一刻依靠平台流量和内容种草做大销量基数，而榴莲西施依靠创始人IP和高端品种建立溢价能力。两者的竞争关系并不激烈，因为价格带和品牌气质有明显的分化：榴芒一刻面向更年轻、更追求感官刺激的消费者，榴莲西施面向更成熟、更追求品质和品牌故事的消费者。榴莲西施的线下发布会、电商+微商双轨渠道策略也与榴芒一刻形成互补而非直接对抗的态势。</w:t>
      </w:r>
    </w:p>
    <w:p>
      <w:pPr>
        <w:pStyle w:val="Heading2"/>
      </w:pPr>
      <w:r>
        <w:t>3.3 美心冰皮榴莲 —— 港式高端先行者</w:t>
      </w:r>
    </w:p>
    <w:p>
      <w:pPr/>
      <w:r>
        <w:t>美心月饼是香港月饼界的高端标杆，也是冰皮月饼品类的先行者之一。美心猫山王榴莲冰皮月饼使用4mm厚度的冰皮（吹弹可破是品牌传播的关键词），内馅使用马来西亚进口猫山王果肉。香港零售价约176港币/盒（折扣后），在大陆市场定价更高。</w:t>
      </w:r>
    </w:p>
    <w:p>
      <w:pPr/>
      <w:r>
        <w:t>美心在冰皮榴莲赛道的核心优势是品牌势能和全球化分销网络。产品通过品牌授权经销商体系覆盖欧洲、北美、澳洲等多个海外市场，这种全球分销能力是任何内地榴莲垂类品牌在短期内无法复制的。美心还积极进行IP联名，与迪士尼合作推出Tsum Tsum系列角色限定款月饼礼盒，是月饼品类中最成熟的IP联名操盘手。</w:t>
      </w:r>
    </w:p>
    <w:p>
      <w:pPr/>
      <w:r>
        <w:t>美心对冰皮榴莲品类的态度是品牌延伸而非all in。榴莲冰皮只是美心月饼庞大产品矩阵中的一条高端线。这种定位使得美心不会在榴莲垂类上与榴芒一刻展开激烈的价格战或流量战，但它的存在持续抬高了整个品类的品质基准和价格上限。</w:t>
      </w:r>
    </w:p>
    <w:p>
      <w:pPr>
        <w:pStyle w:val="Heading2"/>
      </w:pPr>
      <w:r>
        <w:t>3.4 陶陶居 —— 老字号性价比切入</w:t>
      </w:r>
    </w:p>
    <w:p>
      <w:pPr/>
      <w:r>
        <w:t>陶陶居是广州百年老字号，以传统广式月饼立身，用冰皮榴莲切入新口味赛道。陶陶居的策略非常清晰：不卷猫山王，选苏丹王。通过品种降级换取价格优势，同时借助老字号的品牌信任背书吸引年轻消费者。</w:t>
      </w:r>
    </w:p>
    <w:p>
      <w:pPr/>
      <w:r>
        <w:t>陶陶居在营销上走的是高性价比路线，经常推出立减200元的促销活动，实际到手价极具竞争力。渠道方面，陶陶居布局线下门店 + 线上电商 + 直播带货（蜜蜂惊喜社等头部达人直播间频繁出现），渠道覆盖能力在老字号品牌中属于前列。对于预算有限但希望尝鲜的年轻消费者来说，陶陶居是猫山王品牌之外的最具性价比选择。</w:t>
      </w:r>
    </w:p>
    <w:p>
      <w:pPr>
        <w:pStyle w:val="Heading2"/>
      </w:pPr>
      <w:r>
        <w:t>3.5 广州酒家 —— 老字号防守型创新</w:t>
      </w:r>
    </w:p>
    <w:p>
      <w:pPr/>
      <w:r>
        <w:t>广州酒家是中国十大月饼品牌之一，冰皮榴莲月饼在其庞大产品体系中更多是热卖单品而非核心战略品类。广州酒家的逻辑是典型的防守型创新：用冰皮榴莲产品线覆盖年轻人对新口味的需求，防止年轻客群流失到新消费品牌。</w:t>
      </w:r>
    </w:p>
    <w:p>
      <w:pPr/>
      <w:r>
        <w:t>广州酒家在冰皮榴莲品类的投入力度远不及榴芒一刻和榴莲西施，但其品牌积淀和渠道覆盖能力为产品提供了天然的基本盘。对于广州酒家来说，冰皮榴莲月饼的存在意义是完善产品矩阵和触达增量人群，因此它对榴莲垂类品牌不构成直接威胁，但持续的品质基准抬升使得新品牌获得消费者信任的难度在上升。</w:t>
      </w:r>
    </w:p>
    <w:p>
      <w:pPr/>
      <w:r>
        <w:rPr>
          <w:b/>
        </w:rPr>
        <w:t>五大品牌核心竞争要素对比</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Borders>
              <w:start w:val="single" w:sz="6" w:color="999999"/>
              <w:top w:val="single" w:sz="6" w:color="999999"/>
              <w:end w:val="single" w:sz="6" w:color="999999"/>
              <w:bottom w:val="single" w:sz="6" w:color="999999"/>
            </w:tcBorders>
            <w:shd w:fill="D9E2F3"/>
          </w:tcPr>
          <w:p>
            <w:pPr>
              <w:spacing w:before="40" w:after="40"/>
            </w:pPr>
            <w:r>
              <w:rPr>
                <w:rFonts w:ascii="微软雅黑" w:hAnsi="微软雅黑" w:eastAsia="微软雅黑"/>
                <w:b/>
                <w:sz w:val="20"/>
              </w:rPr>
              <w:t>品牌</w:t>
            </w:r>
          </w:p>
        </w:tc>
        <w:tc>
          <w:tcPr>
            <w:tcW w:type="dxa" w:w="1296"/>
            <w:tcBorders>
              <w:start w:val="single" w:sz="6" w:color="999999"/>
              <w:top w:val="single" w:sz="6" w:color="999999"/>
              <w:end w:val="single" w:sz="6" w:color="999999"/>
              <w:bottom w:val="single" w:sz="6" w:color="999999"/>
            </w:tcBorders>
            <w:shd w:fill="D9E2F3"/>
          </w:tcPr>
          <w:p>
            <w:pPr>
              <w:spacing w:before="40" w:after="40"/>
            </w:pPr>
            <w:r>
              <w:rPr>
                <w:rFonts w:ascii="微软雅黑" w:hAnsi="微软雅黑" w:eastAsia="微软雅黑"/>
                <w:b/>
                <w:sz w:val="20"/>
              </w:rPr>
              <w:t>品牌定位</w:t>
            </w:r>
          </w:p>
        </w:tc>
        <w:tc>
          <w:tcPr>
            <w:tcW w:type="dxa" w:w="1296"/>
            <w:tcBorders>
              <w:start w:val="single" w:sz="6" w:color="999999"/>
              <w:top w:val="single" w:sz="6" w:color="999999"/>
              <w:end w:val="single" w:sz="6" w:color="999999"/>
              <w:bottom w:val="single" w:sz="6" w:color="999999"/>
            </w:tcBorders>
            <w:shd w:fill="D9E2F3"/>
          </w:tcPr>
          <w:p>
            <w:pPr>
              <w:spacing w:before="40" w:after="40"/>
            </w:pPr>
            <w:r>
              <w:rPr>
                <w:rFonts w:ascii="微软雅黑" w:hAnsi="微软雅黑" w:eastAsia="微软雅黑"/>
                <w:b/>
                <w:sz w:val="20"/>
              </w:rPr>
              <w:t>榴莲品种</w:t>
            </w:r>
          </w:p>
        </w:tc>
        <w:tc>
          <w:tcPr>
            <w:tcW w:type="dxa" w:w="1296"/>
            <w:tcBorders>
              <w:start w:val="single" w:sz="6" w:color="999999"/>
              <w:top w:val="single" w:sz="6" w:color="999999"/>
              <w:end w:val="single" w:sz="6" w:color="999999"/>
              <w:bottom w:val="single" w:sz="6" w:color="999999"/>
            </w:tcBorders>
            <w:shd w:fill="D9E2F3"/>
          </w:tcPr>
          <w:p>
            <w:pPr>
              <w:spacing w:before="40" w:after="40"/>
            </w:pPr>
            <w:r>
              <w:rPr>
                <w:rFonts w:ascii="微软雅黑" w:hAnsi="微软雅黑" w:eastAsia="微软雅黑"/>
                <w:b/>
                <w:sz w:val="20"/>
              </w:rPr>
              <w:t>价格带</w:t>
            </w:r>
          </w:p>
        </w:tc>
        <w:tc>
          <w:tcPr>
            <w:tcW w:type="dxa" w:w="1296"/>
            <w:tcBorders>
              <w:start w:val="single" w:sz="6" w:color="999999"/>
              <w:top w:val="single" w:sz="6" w:color="999999"/>
              <w:end w:val="single" w:sz="6" w:color="999999"/>
              <w:bottom w:val="single" w:sz="6" w:color="999999"/>
            </w:tcBorders>
            <w:shd w:fill="D9E2F3"/>
          </w:tcPr>
          <w:p>
            <w:pPr>
              <w:spacing w:before="40" w:after="40"/>
            </w:pPr>
            <w:r>
              <w:rPr>
                <w:rFonts w:ascii="微软雅黑" w:hAnsi="微软雅黑" w:eastAsia="微软雅黑"/>
                <w:b/>
                <w:sz w:val="20"/>
              </w:rPr>
              <w:t>核心渠道</w:t>
            </w:r>
          </w:p>
        </w:tc>
        <w:tc>
          <w:tcPr>
            <w:tcW w:type="dxa" w:w="1296"/>
            <w:tcBorders>
              <w:start w:val="single" w:sz="6" w:color="999999"/>
              <w:top w:val="single" w:sz="6" w:color="999999"/>
              <w:end w:val="single" w:sz="6" w:color="999999"/>
              <w:bottom w:val="single" w:sz="6" w:color="999999"/>
            </w:tcBorders>
            <w:shd w:fill="D9E2F3"/>
          </w:tcPr>
          <w:p>
            <w:pPr>
              <w:spacing w:before="40" w:after="40"/>
            </w:pPr>
            <w:r>
              <w:rPr>
                <w:rFonts w:ascii="微软雅黑" w:hAnsi="微软雅黑" w:eastAsia="微软雅黑"/>
                <w:b/>
                <w:sz w:val="20"/>
              </w:rPr>
              <w:t>内容打法</w:t>
            </w:r>
          </w:p>
        </w:tc>
        <w:tc>
          <w:tcPr>
            <w:tcW w:type="dxa" w:w="1296"/>
            <w:tcBorders>
              <w:start w:val="single" w:sz="6" w:color="999999"/>
              <w:top w:val="single" w:sz="6" w:color="999999"/>
              <w:end w:val="single" w:sz="6" w:color="999999"/>
              <w:bottom w:val="single" w:sz="6" w:color="999999"/>
            </w:tcBorders>
            <w:shd w:fill="D9E2F3"/>
          </w:tcPr>
          <w:p>
            <w:pPr>
              <w:spacing w:before="40" w:after="40"/>
            </w:pPr>
            <w:r>
              <w:rPr>
                <w:rFonts w:ascii="微软雅黑" w:hAnsi="微软雅黑" w:eastAsia="微软雅黑"/>
                <w:b/>
                <w:sz w:val="20"/>
              </w:rPr>
              <w:t>关键弱点</w:t>
            </w:r>
          </w:p>
        </w:tc>
      </w:tr>
      <w:tr>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榴芒一刻</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品类定义者</w:t>
              <w:br/>
              <w:t>榴莲垂类快消品</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苏丹王/</w:t>
              <w:br/>
              <w:t>金枕为主</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188-298元</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天猫+抖音+</w:t>
              <w:br/>
              <w:t>社区团购+私域</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爆浆视觉锚点</w:t>
              <w:br/>
              <w:t>KOL/KOC种草</w:t>
              <w:br/>
              <w:t>限时稀缺感</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季节性依赖</w:t>
              <w:br/>
              <w:t>SKU集中风险</w:t>
            </w:r>
          </w:p>
        </w:tc>
      </w:tr>
      <w:tr>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榴莲西施</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高端人格化品牌</w:t>
              <w:br/>
              <w:t>创始人IP驱动</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猫山王</w:t>
              <w:br/>
              <w:t>D197</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200-400元</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电商+微商</w:t>
              <w:br/>
              <w:t>线下发布会</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创始人IP叙事</w:t>
              <w:br/>
              <w:t>央视背书</w:t>
              <w:br/>
              <w:t>60%纯肉承诺</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规模天花板</w:t>
              <w:br/>
              <w:t>过度依赖创始人</w:t>
            </w:r>
          </w:p>
        </w:tc>
      </w:tr>
      <w:tr>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美心月饼</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港式高端标杆</w:t>
              <w:br/>
              <w:t>品类先行者</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猫山王</w:t>
              <w:br/>
              <w:t>D197</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250-400元</w:t>
              <w:br/>
              <w:t>(内地市场)</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全球分销网络</w:t>
              <w:br/>
              <w:t>高端商超</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迪士尼IP联名</w:t>
              <w:br/>
              <w:t>4mm冰皮工艺</w:t>
              <w:br/>
              <w:t>全球品牌势能</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价格偏高</w:t>
              <w:br/>
              <w:t>内地渠道渗透不足</w:t>
            </w:r>
          </w:p>
        </w:tc>
      </w:tr>
      <w:tr>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陶陶居</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老字号性价比</w:t>
              <w:br/>
              <w:t>品种降级策略</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苏丹王</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100-200元</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线下门店+电商</w:t>
              <w:br/>
              <w:t>直播带货</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立减促销</w:t>
              <w:br/>
              <w:t>老字号信任</w:t>
              <w:br/>
              <w:t>达人直播间</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品种定位偏低</w:t>
              <w:br/>
              <w:t>品牌新旧拉扯</w:t>
            </w:r>
          </w:p>
        </w:tc>
      </w:tr>
      <w:tr>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广州酒家</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老字号防守型</w:t>
              <w:br/>
              <w:t>产品矩阵补充</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金枕/</w:t>
              <w:br/>
              <w:t>苏丹王</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80-150元</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线下门店+电商</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品牌信任背书</w:t>
              <w:br/>
              <w:t>品类完善</w:t>
            </w:r>
          </w:p>
        </w:tc>
        <w:tc>
          <w:tcPr>
            <w:tcW w:type="dxa" w:w="1296"/>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投入力度有限</w:t>
              <w:br/>
              <w:t>非核心战略品类</w:t>
            </w:r>
          </w:p>
        </w:tc>
      </w:tr>
    </w:tbl>
    <w:p>
      <w:pPr/>
    </w:p>
    <w:p>
      <w:r>
        <w:br w:type="page"/>
      </w:r>
    </w:p>
    <w:p>
      <w:pPr>
        <w:pStyle w:val="Heading1"/>
      </w:pPr>
      <w:r>
        <w:t>第四章 营销打法拆解</w:t>
      </w:r>
    </w:p>
    <w:p>
      <w:pPr>
        <w:spacing w:after="160"/>
      </w:pPr>
      <w:r>
        <w:rPr>
          <w:b/>
          <w:i/>
          <w:sz w:val="22"/>
        </w:rPr>
        <w:t>核心摘要：冰皮榴莲月饼品类的营销打法呈现高度分化但特征鲜明的模式。爆品限时稀缺型是品类基本盘，感官叙事是内容引爆器，KOL/KOC种草是获客主引擎，社区团购+私域是利润优化器，电商直播是销量放大器，IP联名是品牌势能升级工具。六种打法并非互斥，头部品牌通常组合使用。</w:t>
      </w:r>
    </w:p>
    <w:p>
      <w:pPr>
        <w:pStyle w:val="Heading2"/>
      </w:pPr>
      <w:r>
        <w:t>4.1 爆品限时稀缺型</w:t>
      </w:r>
    </w:p>
    <w:p>
      <w:pPr/>
      <w:r>
        <w:t>这是冰皮榴莲月饼品类最基础的营销节奏。品类天然具有中秋前约40天的销售窗口，榴芒一刻将这种自然限制转化为营销武器：刻意叠加限量+抢购的叙事框架，制造每年仅此一次的仪式感。100万人的惦记——这句话本质上是在告诉消费者你不是只在这个时刻想买，而是一整年都在等这一刻。</w:t>
      </w:r>
    </w:p>
    <w:p>
      <w:pPr/>
      <w:r>
        <w:t>限时稀缺策略的有效性来自两个条件的配合：第一，榴莲本身是季节性水果，消费者接受等待的逻辑；第二，冰皮月饼无法长期常温储存的特性强化了新鲜制作、即买即食的紧迫感。这两个天然条件使得冰皮榴莲月饼比绝大多数食品品类更适合做限时营销。品牌无需制造稀缺，稀缺是品类自带的属性，品牌只需将这种自然稀缺转化为品牌稀缺即可。</w:t>
      </w:r>
    </w:p>
    <w:p>
      <w:pPr>
        <w:pStyle w:val="Heading2"/>
      </w:pPr>
      <w:r>
        <w:t>4.2 感官叙事型</w:t>
      </w:r>
    </w:p>
    <w:p>
      <w:pPr/>
      <w:r>
        <w:t>几乎每一个冰皮榴莲月饼品牌都围绕三个感官锚点做内容：爆浆（视觉冲击）、榴莲肉含量（品质承诺）、冰皮Q弹（口感体验）。榴芒一刻的爆浆叙事是行业内做得最极致的，在产品页面和短视频中反复展示切开冰皮月饼时榴莲果肉爆出的画面，这种视觉信息在社交媒体上的传播效率远高于文字描述。</w:t>
      </w:r>
    </w:p>
    <w:p>
      <w:pPr/>
      <w:r>
        <w:t>榴莲西施的感官叙事走的是另一条路径：60%进口猫山王纯肉、新西兰乳制品——数字和产地变成了品质的感官替代品。消费者无法实际品尝时，认知中的品质感由产地标签和百分比数字构建。美心则用4mm冰皮，吹弹可破这种近似美妆品类的语言来描述食品，将冰皮的薄度和口感转化为可感知的品质信号。不同品牌选择不同的感官锚点，但逻辑一致：用可感知的物理细节替代抽象的品质描述。</w:t>
      </w:r>
    </w:p>
    <w:p>
      <w:pPr>
        <w:pStyle w:val="Heading2"/>
      </w:pPr>
      <w:r>
        <w:t>4.3 KOL/KOC种草型</w:t>
      </w:r>
    </w:p>
    <w:p>
      <w:pPr/>
      <w:r>
        <w:t>冰皮榴莲月饼的种草阵地高度集中在微信、小红书和抖音三大平台。与快消品或美妆品类不同，冰皮榴莲月饼的KOL选择更偏向科技生活方式类和美食垂类账号。榴芒一刻长期与爱范儿、大熊讲等账号合作，这些账号的粉丝群体与榴莲月饼的目标消费者（25-35岁、一二线城市、对生活品质有要求、愿意为好奇心付费）高度重合。</w:t>
      </w:r>
    </w:p>
    <w:p>
      <w:pPr/>
      <w:r>
        <w:t>KOL软文的标准结构通常是：第一人称试吃体验开场（我本来对榴莲月饼不感冒，直到尝了这家）——这种破防叙事是冰皮榴莲月饼品类最有效的内容公式，因为榴莲本身就是高度两极化口味的代表，消费者倾向于相信其他消费者的跨界转化故事而非品牌自述。文章后半段进入品牌故事+产品参数（品种、含量、工艺、冷链），以购买链接收尾。这种内容结构的转化效率已被反复验证。</w:t>
      </w:r>
    </w:p>
    <w:p>
      <w:pPr>
        <w:pStyle w:val="Heading2"/>
      </w:pPr>
      <w:r>
        <w:t>4.4 社区团购+私域型</w:t>
      </w:r>
    </w:p>
    <w:p>
      <w:pPr/>
      <w:r>
        <w:t>社区团购是冰皮榴莲月饼品类利润结构的重要优化器。榴芒一刻和榴莲西施都通过名义初品、嗨团等团购平台广泛铺货，团购价通常比天猫零售价低20-30%。这个价差不是割肉，而是省掉了平台扣点和流量投放费用的结果。对于高度依赖天猫和抖音流量采买的品牌来说，社区团购渠道带来的增量毛利显著高于电商存量渠道。</w:t>
      </w:r>
    </w:p>
    <w:p>
      <w:pPr/>
      <w:r>
        <w:t>私域运营是更高阶的社区团购玩法。榴芒一刻被见实等私域研究和社群组织列为深度游学案例，意味着它已经构建了一套完整的私域获客、留存和转化体系。私域的价值不仅在于复购率的提升（冰皮榴莲月饼本质上是节日性消费品，复购窗口极窄），更在于品牌在非中秋时段与消费者的持续连接——榴莲冰粽、榴莲冰淇淋等衍生产品的销售高度依赖私域场景中的信任关系转化。</w:t>
      </w:r>
    </w:p>
    <w:p>
      <w:pPr>
        <w:pStyle w:val="Heading2"/>
      </w:pPr>
      <w:r>
        <w:t>4.5 电商直播型</w:t>
      </w:r>
    </w:p>
    <w:p>
      <w:pPr/>
      <w:r>
        <w:t>抖音电商是冰皮榴莲月饼品类最重要的销量增长引擎。蝉妈妈数据显示，榴莲冰皮和流心奶黄已成为抖音月饼品类的两大主力口味。陶陶居、广州酒家、榴芒一刻等品牌频繁出现在蜜蜂惊喜社等头部达人直播间。抖音渠道的典型特征是客单价低于天猫（消费者决策场景不同，冲动消费占比更高），但销量增速远超天猫，且下沉市场的渗透效果更好。</w:t>
      </w:r>
    </w:p>
    <w:p>
      <w:pPr/>
      <w:r>
        <w:t>直播带货对于冰皮榴莲月饼的独特价值在于场景还原。达人在直播间现场切开月饼展示爆浆效果，这种实时视觉刺激的转化效率远高于图文详情页。品牌页面再精美也难以替代有人在你面前切开一个月饼、看到榴莲果肉流出来的即时感官冲击。这也是为什么冰皮榴莲月饼品类在直播中的表现优于其他月饼品类——产品本身的视觉冲击力天然适配直播形态。</w:t>
      </w:r>
    </w:p>
    <w:p>
      <w:pPr>
        <w:pStyle w:val="Heading2"/>
      </w:pPr>
      <w:r>
        <w:t>4.6 IP联名型</w:t>
      </w:r>
    </w:p>
    <w:p>
      <w:pPr/>
      <w:r>
        <w:t>美心月饼是IP联名领域的资深玩家，迪士尼Tsum Tsum系列联名款是经典案例。IP联名的核心价值在于降低年轻消费者的决策门槛——当月饼本身的口味和品质信息难以在购买前验证时，一个熟悉的IP形象提供了替代性的信任参考点。消费者在不了解两个月饼品牌差异时，会倾向于选择自己熟悉的IP。</w:t>
      </w:r>
    </w:p>
    <w:p>
      <w:pPr/>
      <w:r>
        <w:t>榴芒一刻和榴莲西施较少做IP联名。原因有两方面：第一，榴莲垂类品牌更倾向于将品类认知而非IP认知作为品牌资产，品类即品牌本身就是一种竞争壁垒，IP联名反而可能稀释这种认知的纯粹性；第二，IP联名费用不菲，对于客单价相对有限的冰皮榴莲月饼品类来说，ROI不一定划算。但未来如果品类竞争加剧，IP联名可能是新品牌寻求差异化的重要手段。</w:t>
      </w:r>
    </w:p>
    <w:p>
      <w:r>
        <w:br w:type="page"/>
      </w:r>
    </w:p>
    <w:p>
      <w:pPr>
        <w:pStyle w:val="Heading1"/>
      </w:pPr>
      <w:r>
        <w:t>第五章 电商渠道分析</w:t>
      </w:r>
    </w:p>
    <w:p>
      <w:pPr>
        <w:spacing w:after="160"/>
      </w:pPr>
      <w:r>
        <w:rPr>
          <w:b/>
          <w:i/>
          <w:sz w:val="22"/>
        </w:rPr>
        <w:t>核心摘要：冰皮榴莲月饼的电商渠道呈现天猫与抖音的二元格局。天猫承载品牌认知和价格基准，抖音负责销量放量和下沉渗透。冷链配送能力直接制约渠道可达范围，是冰皮榴莲月饼电商渗透率的最核心约束。</w:t>
      </w:r>
    </w:p>
    <w:p>
      <w:pPr>
        <w:pStyle w:val="Heading2"/>
      </w:pPr>
      <w:r>
        <w:t>5.1 天猫 vs 抖音：二元渠道格局</w:t>
      </w:r>
    </w:p>
    <w:p>
      <w:pPr/>
      <w:r>
        <w:t>天猫和抖音在冰皮榴莲月饼品类中形成了高度互补的二元渠道格局。天猫渠道的特点是头部品牌集中、客单价更高、品牌旗舰店为核心载体。消费者在天猫购买冰皮榴莲月饼时处于主动搜索状态，决策更理性，对品牌的信任门槛更高。天猫适合建立品牌认知和价格基准，是榴芒一刻等垂类品牌的信任背书阵地。</w:t>
      </w:r>
    </w:p>
    <w:p>
      <w:pPr/>
      <w:r>
        <w:t>抖音渠道的特点是内容驱动、客单价偏低、下沉趋势明显。消费者在抖音的购买行为更多是被短视频内容或直播间刺激后的冲动消费。新品牌在抖音比在天猫更容易起量，因为抖音的推荐算法不依赖品牌搜索量，而是依赖内容的传播效率。但抖音的消费者忠诚度也低于天猫，多数消费者只记得买了一个冰皮榴莲月饼，不太记得是在哪个品牌买的。</w:t>
      </w:r>
    </w:p>
    <w:p>
      <w:pPr/>
      <w:r>
        <w:t>两个渠道的关系是互补而非替代。品牌在天猫积累品牌信任和搜索权重，在抖音放大销量和触达新人群。放弃任何一个渠道都会造成显著的品类覆盖损失。头部品牌的典型配置是天猫旗舰店（品牌门户）+ 抖音店铺+直播（销量引擎）+ 微信小程序（私域沉淀）。</w:t>
      </w:r>
    </w:p>
    <w:p>
      <w:pPr>
        <w:pStyle w:val="Heading2"/>
      </w:pPr>
      <w:r>
        <w:t>5.2 冷链配送：渠道的天花板</w:t>
      </w:r>
    </w:p>
    <w:p>
      <w:pPr/>
      <w:r>
        <w:t>冰皮榴莲月饼的电商渗透率直接受冷链配送能力的制约。产品全程需要-18℃冷冻环境，顺丰冷链几乎是行业标配。冷链配送的可覆盖区域决定了品牌的电商可触达人群。在冷链基础设施薄弱的三四线城市和乡镇市场，冰皮榴莲月饼几乎不具备电商交付条件——这是品类扩张最硬的物理天花板。</w:t>
      </w:r>
    </w:p>
    <w:p>
      <w:pPr/>
      <w:r>
        <w:t>冷库前置和前置仓模式正在改善这一局面。大湾区购物节期间，粤港澳三地月饼通过线上渠道销量超过900万件，其中冷链配送能力的区域集中是核心支撑。山姆会员店的榴莲冰皮月饼限时购，单晚GMV突破5000万元，进一步验证了线下零售+冷链即配模式对冰皮榴莲月饼品类的放大效应。未来随着冷链基础设施向低线城市下沉，冰皮榴莲月饼的渠道天花板会逐步抬升。</w:t>
      </w:r>
    </w:p>
    <w:p>
      <w:r>
        <w:br w:type="page"/>
      </w:r>
    </w:p>
    <w:p>
      <w:pPr>
        <w:pStyle w:val="Heading1"/>
      </w:pPr>
      <w:r>
        <w:t>第六章 消费者洞察</w:t>
      </w:r>
    </w:p>
    <w:p>
      <w:pPr>
        <w:spacing w:after="160"/>
      </w:pPr>
      <w:r>
        <w:rPr>
          <w:b/>
          <w:i/>
          <w:sz w:val="22"/>
        </w:rPr>
        <w:t>核心摘要：冰皮榴莲月饼的核心消费群体是85后至95后城市中产，消费场景混合自用尝鲜和社交送礼。购买决策被榴莲品种、果肉含量和冷链保障三个硬指标驱动，品牌信任和社交媒体口碑是软驱动因素。不同年龄层和城市级别在渠道偏好和价格敏感度上呈现显著差异。</w:t>
      </w:r>
    </w:p>
    <w:p>
      <w:pPr>
        <w:pStyle w:val="Heading2"/>
      </w:pPr>
      <w:r>
        <w:t>6.1 人群画像</w:t>
      </w:r>
    </w:p>
    <w:p>
      <w:pPr/>
      <w:r>
        <w:t>月饼整体消费者中，85-90年群体占比约40%，95后占比约30%，两者合计约70%。年轻消费者对特殊口味的偏好远高于上一代人——榴莲、冰皮、流心奶黄等新式口味在25-35岁群体中的渗透率是传统莲蓉五仁的数倍。一线和新一线城市是冰皮榴莲月饼的核心市场，因为这些城市的冷链基础设施和消费者尝鲜意愿同时满足品类扩张的两个前提。</w:t>
      </w:r>
    </w:p>
    <w:p>
      <w:pPr/>
      <w:r>
        <w:t>从职业分布看，冰皮榴莲月饼的消费者集中在互联网、金融、文化创意等知识型行业，教育水平和收入水平均高于月饼消费者的平均水平。这部分人群的特征是社交网络活跃、内容消费量大、对KOL推荐反应积极、愿意为好奇心和新体验付费。性别分布上女性占比略高（约55-60%），与零食和甜品品类的女性主导属性一致。</w:t>
      </w:r>
    </w:p>
    <w:p>
      <w:pPr>
        <w:pStyle w:val="Heading2"/>
      </w:pPr>
      <w:r>
        <w:t>6.2 购买场景</w:t>
      </w:r>
    </w:p>
    <w:p>
      <w:pPr/>
      <w:r>
        <w:t>冰皮榴莲月饼的消费场景呈现显著的双场景混合特征。自用尝鲜场景的驱动力是好奇心和感官刺激——消费者被爆浆视频种草后产生尝试冲动。送礼场景的驱动力是社交表达——榴莲冰皮作为新奇特品类比传统月饼更有话题性和记忆点，送出去能引起收礼人的注意和讨论。</w:t>
      </w:r>
    </w:p>
    <w:p>
      <w:pPr/>
      <w:r>
        <w:t>不同品牌在两个场景上的卡位不同。榴芒一刻的产品叙事强烈偏向自用（馋疯了、一口爆浆），页面设计也偏年轻化和互联网化。榴莲西施和美心则同时主打送礼场景（包装精美、送礼体面），品牌形象和礼盒设计更加正式和具有仪式感。陶陶居和广州酒家由于品牌认知中已经自带了送礼属性，不需要在场景叙事上做过多的倾斜。这种场景分化为品牌提供了差异化空间，同一品类内可以同时服务两种完全不同的消费动机。</w:t>
      </w:r>
    </w:p>
    <w:p>
      <w:pPr>
        <w:pStyle w:val="Heading2"/>
      </w:pPr>
      <w:r>
        <w:t>6.3 购买决策因素</w:t>
      </w:r>
    </w:p>
    <w:p>
      <w:pPr/>
      <w:r>
        <w:t>通过对各品牌的产品页面分析和消费者评论挖掘，冰皮榴莲月饼的购买决策可归纳为六个核心因素，按重要性排序如下。</w:t>
      </w:r>
    </w:p>
    <w:p>
      <w:pPr/>
      <w:r>
        <w:t>第一，榴莲品种。猫山王强于金枕强于苏丹王的消费者认知已经形成。品种信息是消费者在品牌间比较时最直观的差异信号，也是品牌溢价的最核心支撑。当消费者看到猫山王三个字时，愿意支付的价格上限天然比苏丹王高出50-80%。</w:t>
      </w:r>
    </w:p>
    <w:p>
      <w:pPr/>
      <w:r>
        <w:t>第二，榴莲果肉含量。60%是行业宣称的标杆值，几乎所有使用高果肉含量的品牌都会在产品页显著位置标明。消费者虽然无法验证这个数字的准确性，但在信息不对称的购买场景下，数字承诺成为品质的替代判断标准。</w:t>
      </w:r>
    </w:p>
    <w:p>
      <w:pPr/>
      <w:r>
        <w:t>第三，品牌信任。是否有央视背书、是否为老字号、是否有明星代言或KOL推荐——这些信任信号在消费者决策中叠加作用。榴莲西施的央视上播和榴芒一刻的KOL矩阵本质上是同一种信任构建策略的不同实现路径。</w:t>
      </w:r>
    </w:p>
    <w:p>
      <w:pPr/>
      <w:r>
        <w:t>第四，冷链保障。顺丰冷链几乎成了品质标配认证。产品页标注顺丰冷链配送对转化率有显著的正面影响，不标注冷链配送方式的品牌在转化漏斗中会流失大量用户。</w:t>
      </w:r>
    </w:p>
    <w:p>
      <w:pPr/>
      <w:r>
        <w:t>第五，价格。200元上下是冰皮榴莲月饼的核心价格带。低于100元消费者怀疑品质，超过300元消费者转向其他高端礼品选项。榴莲品种选择在很大程度上已经锁定了品牌的价格区间，营销策略需要在这个区间内做文章。</w:t>
      </w:r>
    </w:p>
    <w:p>
      <w:pPr/>
      <w:r>
        <w:t>第六，社交媒体口碑。小红书种草和抖音达人推荐对初次购买决策的影响极大。与其他品类不同的是，冰皮榴莲月饼的社交媒体口碑不仅影响认知，还直接提供感官验证——消费者通过观看别人的试吃体验来判断自己是否应该购买。</w:t>
      </w:r>
    </w:p>
    <w:p>
      <w:r>
        <w:br w:type="page"/>
      </w:r>
    </w:p>
    <w:p>
      <w:pPr>
        <w:pStyle w:val="Heading1"/>
      </w:pPr>
      <w:r>
        <w:t>第七章 品类创新方向</w:t>
      </w:r>
    </w:p>
    <w:p>
      <w:pPr>
        <w:spacing w:after="160"/>
      </w:pPr>
      <w:r>
        <w:rPr>
          <w:b/>
          <w:i/>
          <w:sz w:val="22"/>
        </w:rPr>
        <w:t>核心摘要：冰皮榴莲月饼品类的创新正沿着四个方向展开：品种升级（从猫山王到黑刺）、产品矩阵扩展（从月饼到榴莲甜品生态）、技术升级（AI分选和冷链优化）、以及供应链本土化（国产榴莲初探）。这些创新方向不是零散的改进，而是品类向系统化、全年化、品质化演进的路线图。</w:t>
      </w:r>
    </w:p>
    <w:p>
      <w:pPr>
        <w:pStyle w:val="Heading2"/>
      </w:pPr>
      <w:r>
        <w:t>7.1 品种升级：黑刺的品类机会</w:t>
      </w:r>
    </w:p>
    <w:p>
      <w:pPr/>
      <w:r>
        <w:t>黑刺（Black Thorn）是继猫山王之后马来西亚重点推广的榴莲品种，果肉呈橙黄色、口感比猫山王更为creamy。东泰一個寳等先锋品牌已经开始将黑刺引入冰皮月饼产品线，定价350-500元/盒，瞄准超高端细分市场。黑刺的品类机会在于：它为已经进入猫山王区间的品牌提供了一个向上延伸的价格带，也为新品牌提供了一个可以不与猫山王正面竞争的新战场。</w:t>
      </w:r>
    </w:p>
    <w:p>
      <w:pPr>
        <w:pStyle w:val="Heading2"/>
      </w:pPr>
      <w:r>
        <w:t>7.2 产品矩阵：从月饼到榴莲甜品生态</w:t>
      </w:r>
    </w:p>
    <w:p>
      <w:pPr/>
      <w:r>
        <w:t>冰皮榴莲月饼的最大商业痛点不是竞争，而是季节依赖。品牌用40天时间完成80%的全年营收，剩余11个月需要靠其他产品维持运营。榴芒一刻的榴莲冰粽、榴莲冰淇淋，以及三亚育才生态区的榴莲冻干、榴莲千层，都是构建榴莲甜品全年消费生态的尝试。如果品牌能将中秋时积累的消费者关系延伸到全年消费场景中（下午茶甜品、即食零食、送礼伴手礼等），冰皮榴莲月饼品牌就能摆脱中秋依赖，进入更可持续的商业周期。</w:t>
      </w:r>
    </w:p>
    <w:p>
      <w:pPr>
        <w:pStyle w:val="Heading2"/>
      </w:pPr>
      <w:r>
        <w:t>7.3 技术驱动：AI分选与冷链升级</w:t>
      </w:r>
    </w:p>
    <w:p>
      <w:pPr/>
      <w:r>
        <w:t>大嘴鸟引入的中国首条智能化榴莲AI检测分选线是供应链端的技术突破。榴莲品质的一致性一直是行业痛点——同一品种的不同批次甚至同一批次的不同个体在成熟度、甜度、口感上可能差异显著。AI分选技术能够以标准化方式筛选榴莲原料，降低品牌采购的品质风险。对于需要大规模、标准化采购的月饼品牌来说，AI分选意味着品质稳定性的跃升，进而降低消费者投诉率和退货率。</w:t>
      </w:r>
    </w:p>
    <w:p>
      <w:pPr/>
      <w:r>
        <w:t>冷链体系也在持续升级。从-18℃全程配送向更低温度、更广覆盖、更智能化的方向发展。冷链技术的进步不仅提升交付品质，也在扩展品类的可触达地理范围。当冷链能够高效覆盖三线及以下城市时，冰皮榴莲月饼的下沉市场增长空间将被释放。</w:t>
      </w:r>
    </w:p>
    <w:p>
      <w:pPr>
        <w:pStyle w:val="Heading2"/>
      </w:pPr>
      <w:r>
        <w:t>7.4 国产榴莲：长远变量</w:t>
      </w:r>
    </w:p>
    <w:p>
      <w:pPr/>
      <w:r>
        <w:t>海南三亚育才生态区正在尝试国产榴莲种植和加工，开发了榴莲糖、榴莲冻干、榴莲冰皮月饼等系列产品。但现阶段国产榴莲体量极小，中国榴莲消费超过99%依赖从泰国和马来西亚进口。国产榴莲真正成为供应力量可能需要5-10年时间。届时如果国产猫山王或黑刺榴莲能形成稳定量产，将对整个冰皮榴莲月饼品类的供应链结构和成本曲线产生深远影响，但短期内品牌不应将国产榴莲纳入商业规划。</w:t>
      </w:r>
    </w:p>
    <w:p>
      <w:r>
        <w:br w:type="page"/>
      </w:r>
    </w:p>
    <w:p>
      <w:pPr>
        <w:pStyle w:val="Heading1"/>
      </w:pPr>
      <w:r>
        <w:t>第八章 品牌营销对比矩阵</w:t>
      </w:r>
    </w:p>
    <w:p>
      <w:pPr>
        <w:spacing w:after="160"/>
      </w:pPr>
      <w:r>
        <w:rPr>
          <w:b/>
          <w:i/>
          <w:sz w:val="22"/>
        </w:rPr>
        <w:t>核心摘要：以下矩阵从品牌定位、品种、价格带、渠道布局、内容打法、核心优势和关键风险七个维度，系统对比五大冰皮榴莲月饼品牌的竞争格局。该矩阵可直接用于竞争战略研判和新品牌定位决策。</w:t>
      </w:r>
    </w:p>
    <w:p>
      <w:pPr/>
      <w:r>
        <w:rPr>
          <w:b/>
        </w:rPr>
        <w:t>品牌七维竞争对比矩阵</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Borders>
              <w:start w:val="single" w:sz="6" w:color="999999"/>
              <w:top w:val="single" w:sz="6" w:color="999999"/>
              <w:end w:val="single" w:sz="6" w:color="999999"/>
              <w:bottom w:val="single" w:sz="6" w:color="999999"/>
            </w:tcBorders>
            <w:shd w:fill="D9E2F3"/>
          </w:tcPr>
          <w:p>
            <w:pPr>
              <w:spacing w:before="40" w:after="40"/>
            </w:pPr>
            <w:r>
              <w:rPr>
                <w:rFonts w:ascii="微软雅黑" w:hAnsi="微软雅黑" w:eastAsia="微软雅黑"/>
                <w:b/>
                <w:sz w:val="20"/>
              </w:rPr>
              <w:t>维度</w:t>
            </w:r>
          </w:p>
        </w:tc>
        <w:tc>
          <w:tcPr>
            <w:tcW w:type="dxa" w:w="1512"/>
            <w:tcBorders>
              <w:start w:val="single" w:sz="6" w:color="999999"/>
              <w:top w:val="single" w:sz="6" w:color="999999"/>
              <w:end w:val="single" w:sz="6" w:color="999999"/>
              <w:bottom w:val="single" w:sz="6" w:color="999999"/>
            </w:tcBorders>
            <w:shd w:fill="D9E2F3"/>
          </w:tcPr>
          <w:p>
            <w:pPr>
              <w:spacing w:before="40" w:after="40"/>
            </w:pPr>
            <w:r>
              <w:rPr>
                <w:rFonts w:ascii="微软雅黑" w:hAnsi="微软雅黑" w:eastAsia="微软雅黑"/>
                <w:b/>
                <w:sz w:val="20"/>
              </w:rPr>
              <w:t>榴芒一刻</w:t>
            </w:r>
          </w:p>
        </w:tc>
        <w:tc>
          <w:tcPr>
            <w:tcW w:type="dxa" w:w="1512"/>
            <w:tcBorders>
              <w:start w:val="single" w:sz="6" w:color="999999"/>
              <w:top w:val="single" w:sz="6" w:color="999999"/>
              <w:end w:val="single" w:sz="6" w:color="999999"/>
              <w:bottom w:val="single" w:sz="6" w:color="999999"/>
            </w:tcBorders>
            <w:shd w:fill="D9E2F3"/>
          </w:tcPr>
          <w:p>
            <w:pPr>
              <w:spacing w:before="40" w:after="40"/>
            </w:pPr>
            <w:r>
              <w:rPr>
                <w:rFonts w:ascii="微软雅黑" w:hAnsi="微软雅黑" w:eastAsia="微软雅黑"/>
                <w:b/>
                <w:sz w:val="20"/>
              </w:rPr>
              <w:t>榴莲西施</w:t>
            </w:r>
          </w:p>
        </w:tc>
        <w:tc>
          <w:tcPr>
            <w:tcW w:type="dxa" w:w="1512"/>
            <w:tcBorders>
              <w:start w:val="single" w:sz="6" w:color="999999"/>
              <w:top w:val="single" w:sz="6" w:color="999999"/>
              <w:end w:val="single" w:sz="6" w:color="999999"/>
              <w:bottom w:val="single" w:sz="6" w:color="999999"/>
            </w:tcBorders>
            <w:shd w:fill="D9E2F3"/>
          </w:tcPr>
          <w:p>
            <w:pPr>
              <w:spacing w:before="40" w:after="40"/>
            </w:pPr>
            <w:r>
              <w:rPr>
                <w:rFonts w:ascii="微软雅黑" w:hAnsi="微软雅黑" w:eastAsia="微软雅黑"/>
                <w:b/>
                <w:sz w:val="20"/>
              </w:rPr>
              <w:t>美心月饼</w:t>
            </w:r>
          </w:p>
        </w:tc>
        <w:tc>
          <w:tcPr>
            <w:tcW w:type="dxa" w:w="1512"/>
            <w:tcBorders>
              <w:start w:val="single" w:sz="6" w:color="999999"/>
              <w:top w:val="single" w:sz="6" w:color="999999"/>
              <w:end w:val="single" w:sz="6" w:color="999999"/>
              <w:bottom w:val="single" w:sz="6" w:color="999999"/>
            </w:tcBorders>
            <w:shd w:fill="D9E2F3"/>
          </w:tcPr>
          <w:p>
            <w:pPr>
              <w:spacing w:before="40" w:after="40"/>
            </w:pPr>
            <w:r>
              <w:rPr>
                <w:rFonts w:ascii="微软雅黑" w:hAnsi="微软雅黑" w:eastAsia="微软雅黑"/>
                <w:b/>
                <w:sz w:val="20"/>
              </w:rPr>
              <w:t>陶陶居</w:t>
            </w:r>
          </w:p>
        </w:tc>
        <w:tc>
          <w:tcPr>
            <w:tcW w:type="dxa" w:w="1512"/>
            <w:tcBorders>
              <w:start w:val="single" w:sz="6" w:color="999999"/>
              <w:top w:val="single" w:sz="6" w:color="999999"/>
              <w:end w:val="single" w:sz="6" w:color="999999"/>
              <w:bottom w:val="single" w:sz="6" w:color="999999"/>
            </w:tcBorders>
            <w:shd w:fill="D9E2F3"/>
          </w:tcPr>
          <w:p>
            <w:pPr>
              <w:spacing w:before="40" w:after="40"/>
            </w:pPr>
            <w:r>
              <w:rPr>
                <w:rFonts w:ascii="微软雅黑" w:hAnsi="微软雅黑" w:eastAsia="微软雅黑"/>
                <w:b/>
                <w:sz w:val="20"/>
              </w:rPr>
              <w:t>广州酒家</w:t>
            </w:r>
          </w:p>
        </w:tc>
      </w:tr>
      <w:tr>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品牌定位</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品类定义者</w:t>
              <w:br/>
              <w:t>榴莲垂类专家</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高端人格化</w:t>
              <w:br/>
              <w:t>创始人IP驱动</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港式高端标杆</w:t>
              <w:br/>
              <w:t>冰皮品类先行者</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老字号性价比</w:t>
              <w:br/>
              <w:t>品种降级策略</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老字号防守型</w:t>
              <w:br/>
              <w:t>产品矩阵补充</w:t>
            </w:r>
          </w:p>
        </w:tc>
      </w:tr>
      <w:tr>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品种</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苏丹王/金枕</w:t>
              <w:br/>
              <w:t>（大众普及）</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猫山王D197</w:t>
              <w:br/>
              <w:t>（顶级高端）</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猫山王D197</w:t>
              <w:br/>
              <w:t>（顶级高端）</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苏丹王</w:t>
              <w:br/>
              <w:t>（中高端性价比）</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金枕/苏丹王</w:t>
              <w:br/>
              <w:t>（大众价位）</w:t>
            </w:r>
          </w:p>
        </w:tc>
      </w:tr>
      <w:tr>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价格带</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188-298元/盒</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200-400元/盒</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250-400元/盒</w:t>
              <w:br/>
              <w:t>(内地)</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100-200元/盒</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80-150元/盒</w:t>
            </w:r>
          </w:p>
        </w:tc>
      </w:tr>
      <w:tr>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渠道布局</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天猫+抖音+社区</w:t>
              <w:br/>
              <w:t>团购+私域四轨</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电商+微商双轨</w:t>
              <w:br/>
              <w:t>线下发布会</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全球授权经销商</w:t>
              <w:br/>
              <w:t>高端商超</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线下门店+电商</w:t>
              <w:br/>
              <w:t>+直播带货</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线下门店+电商</w:t>
            </w:r>
          </w:p>
        </w:tc>
      </w:tr>
      <w:tr>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内容打法</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爆浆视觉+KOL</w:t>
              <w:br/>
              <w:t>种草+限时稀缺</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创始人IP+品种</w:t>
              <w:br/>
              <w:t>独占+央视背书</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IP联名+工艺</w:t>
              <w:br/>
              <w:t>参数+全球品牌</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立减促销+达人</w:t>
              <w:br/>
              <w:t>直播+老字号</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品牌信任+品类</w:t>
              <w:br/>
              <w:t>完善+防守覆盖</w:t>
            </w:r>
          </w:p>
        </w:tc>
      </w:tr>
      <w:tr>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核心优势</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品类即品牌</w:t>
              <w:br/>
              <w:t>供应链闭环成熟</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创始人IP稀缺性</w:t>
              <w:br/>
              <w:t>猫山王高端壁垒</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全球品牌势能</w:t>
              <w:br/>
              <w:t>渠道覆盖无人能及</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价格竞争力</w:t>
              <w:br/>
              <w:t>百年品牌信任</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品牌积淀深厚</w:t>
              <w:br/>
              <w:t>渠道基础设施</w:t>
            </w:r>
          </w:p>
        </w:tc>
      </w:tr>
      <w:tr>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关键风险</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过度季节依赖</w:t>
              <w:br/>
              <w:t>品类天花板显性</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规模天花板</w:t>
              <w:br/>
              <w:t>创始人单点风险</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榴莲非核心品类</w:t>
              <w:br/>
              <w:t>投入意愿不确定</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品种定位偏低</w:t>
              <w:br/>
              <w:t>品牌印象老化</w:t>
            </w:r>
          </w:p>
        </w:tc>
        <w:tc>
          <w:tcPr>
            <w:tcW w:type="dxa" w:w="1512"/>
            <w:tcBorders>
              <w:start w:val="single" w:sz="6" w:color="999999"/>
              <w:top w:val="single" w:sz="6" w:color="999999"/>
              <w:end w:val="single" w:sz="6" w:color="999999"/>
              <w:bottom w:val="single" w:sz="6" w:color="999999"/>
            </w:tcBorders>
          </w:tcPr>
          <w:p>
            <w:pPr>
              <w:spacing w:before="40" w:after="40"/>
            </w:pPr>
            <w:r>
              <w:rPr>
                <w:rFonts w:ascii="微软雅黑" w:hAnsi="微软雅黑" w:eastAsia="微软雅黑"/>
                <w:sz w:val="20"/>
              </w:rPr>
              <w:t>非战略重心</w:t>
              <w:br/>
              <w:t>投入力度不持续</w:t>
            </w:r>
          </w:p>
        </w:tc>
      </w:tr>
    </w:tbl>
    <w:p>
      <w:pPr/>
    </w:p>
    <w:p>
      <w:r>
        <w:br w:type="page"/>
      </w:r>
    </w:p>
    <w:p>
      <w:pPr>
        <w:pStyle w:val="Heading1"/>
      </w:pPr>
      <w:r>
        <w:t>附录：数据来源与声明</w:t>
      </w:r>
    </w:p>
    <w:p>
      <w:pPr/>
      <w:r>
        <w:t>本报告由燃创咨询研究团队编制，数据来源包括：</w:t>
      </w:r>
    </w:p>
    <w:p>
      <w:pPr/>
      <w:r>
        <w:t>• 艾媒咨询 —— 中国月饼礼盒市场规模预测数据</w:t>
      </w:r>
    </w:p>
    <w:p>
      <w:pPr/>
      <w:r>
        <w:t>• FDL数食主张 —— 京东平台榴莲口味月饼市场份额数据</w:t>
      </w:r>
    </w:p>
    <w:p>
      <w:pPr/>
      <w:r>
        <w:t>• 蝉妈妈 —— 抖音电商月饼品类分析数据</w:t>
      </w:r>
    </w:p>
    <w:p>
      <w:pPr/>
      <w:r>
        <w:t>• 见实 —— 私域社群及社区团购案例研究</w:t>
      </w:r>
    </w:p>
    <w:p>
      <w:pPr/>
      <w:r>
        <w:t>• 洪九果品 —— 上市招股书及公开披露的供应链数据</w:t>
      </w:r>
    </w:p>
    <w:p>
      <w:pPr/>
      <w:r>
        <w:t>• 各品牌天猫旗舰店、抖音店铺公开产品信息及价格数据</w:t>
      </w:r>
    </w:p>
    <w:p>
      <w:pPr/>
      <w:r>
        <w:t>• 微信公众号、小红书、抖音平台公开的KOL合作内容</w:t>
      </w:r>
    </w:p>
    <w:p>
      <w:pPr/>
      <w:r>
        <w:t>• 亚洲榴莲盛会官方发布信息</w:t>
      </w:r>
    </w:p>
    <w:p>
      <w:pPr/>
      <w:r>
        <w:t>• 山姆会员店公开促销活动数据</w:t>
      </w:r>
    </w:p>
    <w:p>
      <w:pPr/>
    </w:p>
    <w:p>
      <w:pPr/>
      <w:r>
        <w:t>声明：本报告中的数据基于公开信息来源整理，燃创咨询不对数据源本身的准确性承担责任。报告中涉及的各品牌名称、商标均为其各自所有者的财产。本报告仅供内部研究参考，不构成任何形式的投资建议或商业决策依据。</w:t>
      </w:r>
    </w:p>
    <w:p>
      <w:pPr/>
    </w:p>
    <w:p>
      <w:pPr/>
      <w:r>
        <w:t>研究完成日期：2026年8月11日</w:t>
      </w:r>
    </w:p>
    <w:p>
      <w:pPr/>
      <w:r>
        <w:t>报告版本：V2.0</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288" w:lineRule="auto"/>
      <w:outlineLvl w:val="0"/>
    </w:pPr>
    <w:rPr>
      <w:rFonts w:asciiTheme="majorHAnsi" w:eastAsiaTheme="majorEastAsia" w:hAnsiTheme="majorHAnsi" w:cstheme="majorBid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160" w:after="160" w:line="288" w:lineRule="auto"/>
      <w:outlineLvl w:val="1"/>
    </w:pPr>
    <w:rPr>
      <w:rFonts w:asciiTheme="majorHAnsi" w:eastAsiaTheme="majorEastAsia" w:hAnsiTheme="majorHAnsi" w:cstheme="majorBidi"/>
      <w:b/>
      <w:bCs/>
      <w:color w:val="1A1A2E"/>
      <w:sz w:val="30"/>
      <w:szCs w:val="26"/>
    </w:rPr>
  </w:style>
  <w:style w:type="paragraph" w:styleId="Heading3">
    <w:name w:val="heading 3"/>
    <w:basedOn w:val="Normal"/>
    <w:next w:val="Normal"/>
    <w:link w:val="Heading3Char"/>
    <w:uiPriority w:val="9"/>
    <w:unhideWhenUsed/>
    <w:qFormat/>
    <w:rsid w:val="00FC693F"/>
    <w:pPr>
      <w:keepNext/>
      <w:keepLines/>
      <w:spacing w:before="120" w:after="120" w:line="288" w:lineRule="auto"/>
      <w:outlineLvl w:val="2"/>
    </w:pPr>
    <w:rPr>
      <w:rFonts w:asciiTheme="majorHAnsi" w:eastAsiaTheme="majorEastAsia" w:hAnsiTheme="majorHAnsi" w:cstheme="majorBid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