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744"/>
          <w:sz w:val="52"/>
        </w:rPr>
        <w:t>比乐（BILE）· 福贝宠食</w:t>
        <w:br/>
        <w:t>深度研究与竞争战略咨询</w:t>
      </w:r>
    </w:p>
    <w:p>
      <w:pPr>
        <w:jc w:val="center"/>
      </w:pPr>
      <w:r>
        <w:rPr>
          <w:color w:val="555577"/>
          <w:sz w:val="28"/>
        </w:rPr>
        <w:t>集团/品牌分层五维扫描 · 全财务数据图表化</w:t>
      </w:r>
    </w:p>
    <w:p/>
    <w:p>
      <w:pPr>
        <w:jc w:val="center"/>
      </w:pPr>
      <w:r>
        <w:rPr>
          <w:color w:val="888899"/>
          <w:sz w:val="19"/>
        </w:rPr>
        <w:t>为燃创咨询准备  |  2026年7月</w:t>
        <w:br/>
        <w:t>研究框架：行业格局 → 竞品五维(集团/品牌分级) → 本品五维(福贝+比乐) → 差距对比 → 切入点</w:t>
      </w:r>
    </w:p>
    <w:p>
      <w:r>
        <w:br w:type="page"/>
      </w:r>
    </w:p>
    <w:p>
      <w:pPr>
        <w:spacing w:after="400"/>
        <w:jc w:val="center"/>
      </w:pPr>
      <w:r>
        <w:rPr>
          <w:b/>
          <w:color w:val="1A2744"/>
          <w:sz w:val="36"/>
        </w:rPr>
        <w:t>目录</w:t>
      </w:r>
    </w:p>
    <w:p/>
    <w:p>
      <w:pPr>
        <w:spacing w:after="40"/>
        <w:ind w:left="0"/>
      </w:pPr>
      <w:r>
        <w:rPr>
          <w:b/>
          <w:color w:val="1A1A17"/>
          <w:sz w:val="22"/>
        </w:rPr>
        <w:t>一、核心发现与咨询时间窗口</w:t>
      </w:r>
    </w:p>
    <w:p>
      <w:pPr>
        <w:spacing w:after="40"/>
        <w:ind w:left="567"/>
      </w:pPr>
      <w:r>
        <w:rPr>
          <w:color w:val="1A1A17"/>
          <w:sz w:val="21"/>
        </w:rPr>
        <w:t>核心发现</w:t>
      </w:r>
    </w:p>
    <w:p>
      <w:pPr>
        <w:spacing w:after="40"/>
        <w:ind w:left="0"/>
      </w:pPr>
      <w:r>
        <w:rPr>
          <w:b/>
          <w:color w:val="1A1A17"/>
          <w:sz w:val="22"/>
        </w:rPr>
        <w:t>二、行业格局与竞品总矩阵</w:t>
      </w:r>
    </w:p>
    <w:p>
      <w:pPr>
        <w:spacing w:after="40"/>
        <w:ind w:left="567"/>
      </w:pPr>
      <w:r>
        <w:rPr>
          <w:color w:val="1A1A17"/>
          <w:sz w:val="21"/>
        </w:rPr>
        <w:t>2.1  Porter五力扫描</w:t>
      </w:r>
    </w:p>
    <w:p>
      <w:pPr>
        <w:spacing w:after="40"/>
        <w:ind w:left="567"/>
      </w:pPr>
      <w:r>
        <w:rPr>
          <w:color w:val="1A1A17"/>
          <w:sz w:val="21"/>
        </w:rPr>
        <w:t>2.2  竞品一屏总表</w:t>
      </w:r>
    </w:p>
    <w:p>
      <w:pPr>
        <w:spacing w:after="40"/>
        <w:ind w:left="0"/>
      </w:pPr>
      <w:r>
        <w:rPr>
          <w:b/>
          <w:color w:val="1A1A17"/>
          <w:sz w:val="22"/>
        </w:rPr>
        <w:t>三、竞品五维扫描</w:t>
      </w:r>
    </w:p>
    <w:p>
      <w:pPr>
        <w:spacing w:after="40"/>
        <w:ind w:left="567"/>
      </w:pPr>
      <w:r>
        <w:rPr>
          <w:color w:val="1A1A17"/>
          <w:sz w:val="21"/>
        </w:rPr>
        <w:t>3.1  乖宝集团 + 麦富迪品牌</w:t>
      </w:r>
    </w:p>
    <w:p>
      <w:pPr>
        <w:spacing w:after="40"/>
        <w:ind w:left="1134"/>
      </w:pPr>
      <w:r>
        <w:rPr>
          <w:color w:val="1A1A17"/>
          <w:sz w:val="20"/>
        </w:rPr>
        <w:t>① 集团层级：市场与财务</w:t>
      </w:r>
    </w:p>
    <w:p>
      <w:pPr>
        <w:spacing w:after="40"/>
        <w:ind w:left="1134"/>
      </w:pPr>
      <w:r>
        <w:rPr>
          <w:color w:val="1A1A17"/>
          <w:sz w:val="20"/>
        </w:rPr>
        <w:t>② 集团层级：收入结构</w:t>
      </w:r>
    </w:p>
    <w:p>
      <w:pPr>
        <w:spacing w:after="40"/>
        <w:ind w:left="1134"/>
      </w:pPr>
      <w:r>
        <w:rPr>
          <w:color w:val="1A1A17"/>
          <w:sz w:val="20"/>
        </w:rPr>
        <w:t>③ 品牌层级：麦富迪品牌力</w:t>
      </w:r>
    </w:p>
    <w:p>
      <w:pPr>
        <w:spacing w:after="40"/>
        <w:ind w:left="1134"/>
      </w:pPr>
      <w:r>
        <w:rPr>
          <w:color w:val="1A1A17"/>
          <w:sz w:val="20"/>
        </w:rPr>
        <w:t>④ 麦富迪产品力</w:t>
      </w:r>
    </w:p>
    <w:p>
      <w:pPr>
        <w:spacing w:after="40"/>
        <w:ind w:left="1134"/>
      </w:pPr>
      <w:r>
        <w:rPr>
          <w:color w:val="1A1A17"/>
          <w:sz w:val="20"/>
        </w:rPr>
        <w:t>⑤ 趋势与人群</w:t>
      </w:r>
    </w:p>
    <w:p>
      <w:pPr>
        <w:spacing w:after="40"/>
        <w:ind w:left="567"/>
      </w:pPr>
      <w:r>
        <w:rPr>
          <w:color w:val="1A1A17"/>
          <w:sz w:val="21"/>
        </w:rPr>
        <w:t>3.2  中宠股份 + 顽皮品牌</w:t>
      </w:r>
    </w:p>
    <w:p>
      <w:pPr>
        <w:spacing w:after="40"/>
        <w:ind w:left="1134"/>
      </w:pPr>
      <w:r>
        <w:rPr>
          <w:color w:val="1A1A17"/>
          <w:sz w:val="20"/>
        </w:rPr>
        <w:t>① 集团层级：市场与财务</w:t>
      </w:r>
    </w:p>
    <w:p>
      <w:pPr>
        <w:spacing w:after="40"/>
        <w:ind w:left="1134"/>
      </w:pPr>
      <w:r>
        <w:rPr>
          <w:color w:val="1A1A17"/>
          <w:sz w:val="20"/>
        </w:rPr>
        <w:t>② 品牌层级：顽皮与中宠的品牌矩阵</w:t>
      </w:r>
    </w:p>
    <w:p>
      <w:pPr>
        <w:spacing w:after="40"/>
        <w:ind w:left="567"/>
      </w:pPr>
      <w:r>
        <w:rPr>
          <w:color w:val="1A1A17"/>
          <w:sz w:val="21"/>
        </w:rPr>
        <w:t>3.3  伯纳天纯</w:t>
      </w:r>
    </w:p>
    <w:p>
      <w:pPr>
        <w:spacing w:after="40"/>
        <w:ind w:left="1134"/>
      </w:pPr>
      <w:r>
        <w:rPr>
          <w:color w:val="1A1A17"/>
          <w:sz w:val="20"/>
        </w:rPr>
        <w:t>① 市场/渠道（生意渠道）</w:t>
      </w:r>
    </w:p>
    <w:p>
      <w:pPr>
        <w:spacing w:after="40"/>
        <w:ind w:left="1134"/>
      </w:pPr>
      <w:r>
        <w:rPr>
          <w:color w:val="1A1A17"/>
          <w:sz w:val="20"/>
        </w:rPr>
        <w:t>② 品牌力</w:t>
      </w:r>
    </w:p>
    <w:p>
      <w:pPr>
        <w:spacing w:after="40"/>
        <w:ind w:left="1134"/>
      </w:pPr>
      <w:r>
        <w:rPr>
          <w:color w:val="1A1A17"/>
          <w:sz w:val="20"/>
        </w:rPr>
        <w:t>③ 产品</w:t>
      </w:r>
    </w:p>
    <w:p>
      <w:pPr>
        <w:spacing w:after="40"/>
        <w:ind w:left="567"/>
      </w:pPr>
      <w:r>
        <w:rPr>
          <w:color w:val="1A1A17"/>
          <w:sz w:val="21"/>
        </w:rPr>
        <w:t>3.4  蓝氏 × 鲜朗：品类创新者的崛起</w:t>
      </w:r>
    </w:p>
    <w:p>
      <w:pPr>
        <w:spacing w:after="40"/>
        <w:ind w:left="1134"/>
      </w:pPr>
      <w:r>
        <w:rPr>
          <w:color w:val="1A1A17"/>
          <w:sz w:val="20"/>
        </w:rPr>
        <w:t>① 市场/渠道——线上为王</w:t>
      </w:r>
    </w:p>
    <w:p>
      <w:pPr>
        <w:spacing w:after="40"/>
        <w:ind w:left="1134"/>
      </w:pPr>
      <w:r>
        <w:rPr>
          <w:color w:val="1A1A17"/>
          <w:sz w:val="20"/>
        </w:rPr>
        <w:t>② 品牌力——品类锚点的教科书级执行</w:t>
      </w:r>
    </w:p>
    <w:p>
      <w:pPr>
        <w:spacing w:after="40"/>
        <w:ind w:left="1134"/>
      </w:pPr>
      <w:r>
        <w:rPr>
          <w:color w:val="1A1A17"/>
          <w:sz w:val="20"/>
        </w:rPr>
        <w:t>③ 产品——极简聚焦</w:t>
      </w:r>
    </w:p>
    <w:p>
      <w:pPr>
        <w:spacing w:after="40"/>
        <w:ind w:left="1134"/>
      </w:pPr>
      <w:r>
        <w:rPr>
          <w:color w:val="1A1A17"/>
          <w:sz w:val="20"/>
        </w:rPr>
        <w:t>④ 趋势与人群</w:t>
      </w:r>
    </w:p>
    <w:p>
      <w:pPr>
        <w:spacing w:after="40"/>
        <w:ind w:left="567"/>
      </w:pPr>
      <w:r>
        <w:rPr>
          <w:color w:val="1A1A17"/>
          <w:sz w:val="21"/>
        </w:rPr>
        <w:t>3.5  皇家/普瑞纳：国际巨头的结构性优势</w:t>
      </w:r>
    </w:p>
    <w:p>
      <w:pPr>
        <w:spacing w:after="40"/>
        <w:ind w:left="1134"/>
      </w:pPr>
      <w:r>
        <w:rPr>
          <w:color w:val="1A1A17"/>
          <w:sz w:val="20"/>
        </w:rPr>
        <w:t>① 市场/渠道——处方粮的渠道壁垒</w:t>
      </w:r>
    </w:p>
    <w:p>
      <w:pPr>
        <w:spacing w:after="40"/>
        <w:ind w:left="1134"/>
      </w:pPr>
      <w:r>
        <w:rPr>
          <w:color w:val="1A1A17"/>
          <w:sz w:val="20"/>
        </w:rPr>
        <w:t>② 品牌力——研发壁垒的全球规模</w:t>
      </w:r>
    </w:p>
    <w:p>
      <w:pPr>
        <w:spacing w:after="40"/>
        <w:ind w:left="567"/>
      </w:pPr>
      <w:r>
        <w:rPr>
          <w:color w:val="1A1A17"/>
          <w:sz w:val="21"/>
        </w:rPr>
        <w:t>3.6  四种竞争模式与比乐的位置</w:t>
      </w:r>
    </w:p>
    <w:p>
      <w:pPr>
        <w:spacing w:after="40"/>
        <w:ind w:left="0"/>
      </w:pPr>
      <w:r>
        <w:rPr>
          <w:b/>
          <w:color w:val="1A1A17"/>
          <w:sz w:val="22"/>
        </w:rPr>
        <w:t>四、本品五维深度分析：福贝集团 + 比乐品牌</w:t>
      </w:r>
    </w:p>
    <w:p>
      <w:pPr>
        <w:spacing w:after="40"/>
        <w:ind w:left="567"/>
      </w:pPr>
      <w:r>
        <w:rPr>
          <w:color w:val="1A1A17"/>
          <w:sz w:val="21"/>
        </w:rPr>
        <w:t>4.1  市场/渠道——生意渠道扫描</w:t>
      </w:r>
    </w:p>
    <w:p>
      <w:pPr>
        <w:spacing w:after="40"/>
        <w:ind w:left="1134"/>
      </w:pPr>
      <w:r>
        <w:rPr>
          <w:color w:val="1A1A17"/>
          <w:sz w:val="20"/>
        </w:rPr>
        <w:t>集团层级：五大战略矛盾</w:t>
      </w:r>
    </w:p>
    <w:p>
      <w:pPr>
        <w:spacing w:after="40"/>
        <w:ind w:left="1134"/>
      </w:pPr>
      <w:r>
        <w:rPr>
          <w:color w:val="1A1A17"/>
          <w:sz w:val="20"/>
        </w:rPr>
        <w:t>集团层级：利润骤降归因</w:t>
      </w:r>
    </w:p>
    <w:p>
      <w:pPr>
        <w:spacing w:after="40"/>
        <w:ind w:left="1134"/>
      </w:pPr>
      <w:r>
        <w:rPr>
          <w:color w:val="1A1A17"/>
          <w:sz w:val="20"/>
        </w:rPr>
        <w:t>集团层级：现金流与财务健康</w:t>
      </w:r>
    </w:p>
    <w:p>
      <w:pPr>
        <w:spacing w:after="40"/>
        <w:ind w:left="1134"/>
      </w:pPr>
      <w:r>
        <w:rPr>
          <w:color w:val="1A1A17"/>
          <w:sz w:val="20"/>
        </w:rPr>
        <w:t>集团层级：IPO募资分析</w:t>
      </w:r>
    </w:p>
    <w:p>
      <w:pPr>
        <w:spacing w:after="40"/>
        <w:ind w:left="1134"/>
      </w:pPr>
      <w:r>
        <w:rPr>
          <w:color w:val="1A1A17"/>
          <w:sz w:val="20"/>
        </w:rPr>
        <w:t>集团层级：Scaling可能性评估</w:t>
      </w:r>
    </w:p>
    <w:p>
      <w:pPr>
        <w:spacing w:after="40"/>
        <w:ind w:left="1134"/>
      </w:pPr>
      <w:r>
        <w:rPr>
          <w:color w:val="1A1A17"/>
          <w:sz w:val="20"/>
        </w:rPr>
        <w:t>品牌层级：比乐生意渠道扫描</w:t>
      </w:r>
    </w:p>
    <w:p>
      <w:pPr>
        <w:spacing w:after="40"/>
        <w:ind w:left="1134"/>
      </w:pPr>
      <w:r>
        <w:rPr>
          <w:color w:val="1A1A17"/>
          <w:sz w:val="20"/>
        </w:rPr>
        <w:t>线上生意渠道</w:t>
      </w:r>
    </w:p>
    <w:p>
      <w:pPr>
        <w:spacing w:after="40"/>
        <w:ind w:left="1134"/>
      </w:pPr>
      <w:r>
        <w:rPr>
          <w:color w:val="1A1A17"/>
          <w:sz w:val="20"/>
        </w:rPr>
        <w:t>线下生意渠道</w:t>
      </w:r>
    </w:p>
    <w:p>
      <w:pPr>
        <w:spacing w:after="40"/>
        <w:ind w:left="567"/>
      </w:pPr>
      <w:r>
        <w:rPr>
          <w:color w:val="1A1A17"/>
          <w:sz w:val="21"/>
        </w:rPr>
        <w:t>4.2  品牌力——品牌定位、营销媒介与传播诊断</w:t>
      </w:r>
    </w:p>
    <w:p>
      <w:pPr>
        <w:spacing w:after="40"/>
        <w:ind w:left="1134"/>
      </w:pPr>
      <w:r>
        <w:rPr>
          <w:color w:val="1A1A17"/>
          <w:sz w:val="20"/>
        </w:rPr>
        <w:t>比乐品牌排名完整清单</w:t>
      </w:r>
    </w:p>
    <w:p>
      <w:pPr>
        <w:spacing w:after="40"/>
        <w:ind w:left="1134"/>
      </w:pPr>
      <w:r>
        <w:rPr>
          <w:color w:val="1A1A17"/>
          <w:sz w:val="20"/>
        </w:rPr>
        <w:t>品牌营销大帽子：比乐的campaign审计</w:t>
      </w:r>
    </w:p>
    <w:p>
      <w:pPr>
        <w:spacing w:after="40"/>
        <w:ind w:left="1134"/>
      </w:pPr>
      <w:r>
        <w:rPr>
          <w:color w:val="1A1A17"/>
          <w:sz w:val="20"/>
        </w:rPr>
        <w:t>营销媒介渠道扫描</w:t>
      </w:r>
    </w:p>
    <w:p>
      <w:pPr>
        <w:spacing w:after="40"/>
        <w:ind w:left="1134"/>
      </w:pPr>
      <w:r>
        <w:rPr>
          <w:color w:val="1A1A17"/>
          <w:sz w:val="20"/>
        </w:rPr>
        <w:t>线上营销媒介</w:t>
      </w:r>
    </w:p>
    <w:p>
      <w:pPr>
        <w:spacing w:after="40"/>
        <w:ind w:left="1134"/>
      </w:pPr>
      <w:r>
        <w:rPr>
          <w:color w:val="1A1A17"/>
          <w:sz w:val="20"/>
        </w:rPr>
        <w:t>线下营销媒介</w:t>
      </w:r>
    </w:p>
    <w:p>
      <w:pPr>
        <w:spacing w:after="40"/>
        <w:ind w:left="1134"/>
      </w:pPr>
      <w:r>
        <w:rPr>
          <w:color w:val="1A1A17"/>
          <w:sz w:val="20"/>
        </w:rPr>
        <w:t>营销ROI问题量化</w:t>
      </w:r>
    </w:p>
    <w:p>
      <w:pPr>
        <w:spacing w:after="40"/>
        <w:ind w:left="1134"/>
      </w:pPr>
      <w:r>
        <w:rPr>
          <w:color w:val="1A1A17"/>
          <w:sz w:val="20"/>
        </w:rPr>
        <w:t>组织能力诊断</w:t>
      </w:r>
    </w:p>
    <w:p>
      <w:pPr>
        <w:spacing w:after="40"/>
        <w:ind w:left="567"/>
      </w:pPr>
      <w:r>
        <w:rPr>
          <w:color w:val="1A1A17"/>
          <w:sz w:val="21"/>
        </w:rPr>
        <w:t>4.3  产品</w:t>
      </w:r>
    </w:p>
    <w:p>
      <w:pPr>
        <w:spacing w:after="40"/>
        <w:ind w:left="1134"/>
      </w:pPr>
      <w:r>
        <w:rPr>
          <w:color w:val="1A1A17"/>
          <w:sz w:val="20"/>
        </w:rPr>
        <w:t>比乐产品矩阵</w:t>
      </w:r>
    </w:p>
    <w:p>
      <w:pPr>
        <w:spacing w:after="40"/>
        <w:ind w:left="1134"/>
      </w:pPr>
      <w:r>
        <w:rPr>
          <w:color w:val="1A1A17"/>
          <w:sz w:val="20"/>
        </w:rPr>
        <w:t>三级品控：行业标杆级</w:t>
      </w:r>
    </w:p>
    <w:p>
      <w:pPr>
        <w:spacing w:after="40"/>
        <w:ind w:left="1134"/>
      </w:pPr>
      <w:r>
        <w:rPr>
          <w:color w:val="1A1A17"/>
          <w:sz w:val="20"/>
        </w:rPr>
        <w:t>老年犬蓝海：被验证的差异化赛道</w:t>
      </w:r>
    </w:p>
    <w:p>
      <w:pPr>
        <w:spacing w:after="40"/>
        <w:ind w:left="1134"/>
      </w:pPr>
      <w:r>
        <w:rPr>
          <w:color w:val="1A1A17"/>
          <w:sz w:val="20"/>
        </w:rPr>
        <w:t>产品力的断层：有爆品没有爆品牌</w:t>
      </w:r>
    </w:p>
    <w:p>
      <w:pPr>
        <w:spacing w:after="40"/>
        <w:ind w:left="567"/>
      </w:pPr>
      <w:r>
        <w:rPr>
          <w:color w:val="1A1A17"/>
          <w:sz w:val="21"/>
        </w:rPr>
        <w:t>4.4  趋势：五个正在重塑赛道的力量</w:t>
      </w:r>
    </w:p>
    <w:p>
      <w:pPr>
        <w:spacing w:after="40"/>
        <w:ind w:left="567"/>
      </w:pPr>
      <w:r>
        <w:rPr>
          <w:color w:val="1A1A17"/>
          <w:sz w:val="21"/>
        </w:rPr>
        <w:t>4.5  消费人群：四类正在定义购买的群体</w:t>
      </w:r>
    </w:p>
    <w:p>
      <w:pPr>
        <w:spacing w:after="40"/>
        <w:ind w:left="0"/>
      </w:pPr>
      <w:r>
        <w:rPr>
          <w:b/>
          <w:color w:val="1A1A17"/>
          <w:sz w:val="22"/>
        </w:rPr>
        <w:t>五、本竞品差距对比</w:t>
      </w:r>
    </w:p>
    <w:p>
      <w:pPr>
        <w:spacing w:after="40"/>
        <w:ind w:left="567"/>
      </w:pPr>
      <w:r>
        <w:rPr>
          <w:color w:val="1A1A17"/>
          <w:sz w:val="21"/>
        </w:rPr>
        <w:t>5.1  集团层级：福贝 vs 乖宝</w:t>
      </w:r>
    </w:p>
    <w:p>
      <w:pPr>
        <w:spacing w:after="40"/>
        <w:ind w:left="567"/>
      </w:pPr>
      <w:r>
        <w:rPr>
          <w:color w:val="1A1A17"/>
          <w:sz w:val="21"/>
        </w:rPr>
        <w:t>5.2  品牌层级：比乐 vs 麦富迪</w:t>
      </w:r>
    </w:p>
    <w:p>
      <w:pPr>
        <w:spacing w:after="40"/>
        <w:ind w:left="567"/>
      </w:pPr>
      <w:r>
        <w:rPr>
          <w:color w:val="1A1A17"/>
          <w:sz w:val="21"/>
        </w:rPr>
        <w:t>5.3  比乐 vs 其他竞品快速定位</w:t>
      </w:r>
    </w:p>
    <w:p>
      <w:pPr>
        <w:spacing w:after="40"/>
        <w:ind w:left="0"/>
      </w:pPr>
      <w:r>
        <w:rPr>
          <w:b/>
          <w:color w:val="1A1A17"/>
          <w:sz w:val="22"/>
        </w:rPr>
        <w:t>六、燃创咨询切入点</w:t>
      </w:r>
    </w:p>
    <w:p>
      <w:pPr>
        <w:spacing w:after="40"/>
        <w:ind w:left="567"/>
      </w:pPr>
      <w:r>
        <w:rPr>
          <w:color w:val="1A1A17"/>
          <w:sz w:val="21"/>
        </w:rPr>
        <w:t>6.1  品牌层（比乐）：五条核心策略</w:t>
      </w:r>
    </w:p>
    <w:p>
      <w:pPr>
        <w:spacing w:after="40"/>
        <w:ind w:left="567"/>
      </w:pPr>
      <w:r>
        <w:rPr>
          <w:color w:val="1A1A17"/>
          <w:sz w:val="21"/>
        </w:rPr>
        <w:t>6.2  集团层（福贝）：战略再平衡议题</w:t>
      </w:r>
    </w:p>
    <w:p>
      <w:pPr>
        <w:spacing w:after="40"/>
        <w:ind w:left="567"/>
      </w:pPr>
      <w:r>
        <w:rPr>
          <w:color w:val="1A1A17"/>
          <w:sz w:val="21"/>
        </w:rPr>
        <w:t>6.3  建议的咨询项目范围与结构</w:t>
      </w:r>
    </w:p>
    <w:p>
      <w:pPr>
        <w:spacing w:after="40"/>
        <w:ind w:left="0"/>
      </w:pPr>
      <w:r>
        <w:rPr>
          <w:b/>
          <w:color w:val="1A1A17"/>
          <w:sz w:val="22"/>
        </w:rPr>
        <w:t>附录：数据核验表与方法论</w:t>
      </w:r>
    </w:p>
    <w:p>
      <w:pPr>
        <w:spacing w:after="40"/>
        <w:ind w:left="567"/>
      </w:pPr>
      <w:r>
        <w:rPr>
          <w:color w:val="1A1A17"/>
          <w:sz w:val="21"/>
        </w:rPr>
        <w:t>A.1  全报告关键数据核验</w:t>
      </w:r>
    </w:p>
    <w:p>
      <w:pPr>
        <w:spacing w:after="40"/>
        <w:ind w:left="567"/>
      </w:pPr>
      <w:r>
        <w:rPr>
          <w:color w:val="1A1A17"/>
          <w:sz w:val="21"/>
        </w:rPr>
        <w:t>A.2  验证状态说明</w:t>
      </w:r>
    </w:p>
    <w:p>
      <w:pPr>
        <w:spacing w:after="40"/>
        <w:ind w:left="567"/>
      </w:pPr>
      <w:r>
        <w:rPr>
          <w:color w:val="1A1A17"/>
          <w:sz w:val="21"/>
        </w:rPr>
        <w:t>A.3  本报告局限性</w:t>
      </w:r>
    </w:p>
    <w:p>
      <w:pPr>
        <w:spacing w:after="40"/>
        <w:ind w:left="567"/>
      </w:pPr>
      <w:r>
        <w:rPr>
          <w:color w:val="1A1A17"/>
          <w:sz w:val="21"/>
        </w:rPr>
        <w:t>A.4  来源文献列表</w:t>
      </w:r>
    </w:p>
    <w:p>
      <w:r>
        <w:br w:type="page"/>
      </w:r>
    </w:p>
    <w:p>
      <w:pPr>
        <w:pStyle w:val="Heading1"/>
      </w:pPr>
      <w:r>
        <w:rPr>
          <w:color w:val="1A2744"/>
        </w:rPr>
        <w:t>一、核心发现与咨询时间窗口</w:t>
      </w:r>
    </w:p>
    <w:p>
      <w:r>
        <w:rPr>
          <w:b/>
          <w:color w:val="1A1A17"/>
          <w:sz w:val="21"/>
        </w:rPr>
        <w:t>【咨询触发节点】</w:t>
      </w:r>
      <w:r>
        <w:rPr>
          <w:color w:val="1A1A17"/>
          <w:sz w:val="21"/>
        </w:rPr>
        <w:t>福贝宠食于2026年6月向港交所递交IPO申请，正处于上市审核关键窗口期。对燃创而言，企业上市前6—12个月是品牌战略升级咨询最典型的触达时机——企业在这个阶段需要向资本市场讲述品牌增长故事、证明自有品牌价值、重新梳理品牌定位。</w:t>
      </w:r>
    </w:p>
    <w:p>
      <w:r>
        <w:rPr>
          <w:b/>
          <w:color w:val="1A1A17"/>
          <w:sz w:val="21"/>
        </w:rPr>
        <w:t>【方法论：集团/品牌分级五维扫描】</w:t>
      </w:r>
      <w:r>
        <w:rPr>
          <w:color w:val="1A1A17"/>
          <w:sz w:val="21"/>
        </w:rPr>
        <w:t>在五维章节结构基础上引入集团vs品牌分级分析。①集团层级：财务基本面、利润归因、现金流、IPO募资分析、Scaling评估。②品牌层级：市场渠道扫描（仅生意渠道）、品牌力诊断（含营销媒介）、产品矩阵、趋势纵深、人群画像。对乖宝集团同样分级（集团层+麦富迪品牌层），对未上市或品牌即主体的竞品（伯纳天纯、蓝氏/鲜朗）则以品牌层级为主。全篇所有财务数据点——营收、利润、毛利率、费用率、收入结构、现金流——全部图表化。</w:t>
      </w:r>
    </w:p>
    <w:p>
      <w:pPr>
        <w:pStyle w:val="Heading2"/>
      </w:pPr>
      <w:r>
        <w:rPr>
          <w:color w:val="1A2744"/>
        </w:rPr>
        <w:t>核心发现</w:t>
      </w:r>
    </w:p>
    <w:p>
      <w:r>
        <w:rPr>
          <w:color w:val="1A1A17"/>
          <w:sz w:val="21"/>
        </w:rPr>
        <w:t>比乐（BILE）是中国第十大本土宠物食品品牌、第五大本土狗主粮品牌，隶属于上海福贝宠物用品股份有限公司。福贝成立于2005年，是中国第二大宠物食品ODM/OEM第三方制造商（按2025年收入计，市场份额5.3%），行业称其为宠食界富士康。公司于2026年6月向港交所递交上市申请。</w:t>
      </w:r>
    </w:p>
    <w:p>
      <w:r>
        <w:rPr>
          <w:color w:val="1A1A17"/>
          <w:sz w:val="21"/>
        </w:rPr>
        <w:t>从制造能力看，福贝是行业顶级——7大生产基地覆盖膨化粮、冻干粮、烘焙粮、湿粮、鲜粮、乳品6大产线，年产能超30万吨，是首个通过欧盟TRACE认证的中国宠物食品企业，累计132项专利，服务超1000个品牌客户。制造维度可以打90分。</w:t>
      </w:r>
    </w:p>
    <w:p>
      <w:r>
        <w:rPr>
          <w:color w:val="1A1A17"/>
          <w:sz w:val="21"/>
        </w:rPr>
        <w:t>但从品牌维度看，情况截然不同。比乐核心自有品牌，营收从2023年4.09亿连续三年下滑至2025年3.33亿，降幅约19%。更值得警觉的是结构性变化：ODM代工收入占比从58.6%升至61.7%，而OBM品牌收入占比从41.3%降至34.3%——公司正在越来越依赖低利润代工业务，而最赚钱的品牌业务（毛利率49%，代工仅23%）却在持续萎缩。</w:t>
      </w:r>
    </w:p>
    <w:p>
      <w:r>
        <w:rPr>
          <w:b/>
          <w:color w:val="1A1A17"/>
          <w:sz w:val="21"/>
        </w:rPr>
        <w:t>▎ 核心诊断：</w:t>
      </w:r>
      <w:r>
        <w:rPr>
          <w:color w:val="1A1A17"/>
          <w:sz w:val="21"/>
        </w:rPr>
        <w:t>福贝是一个顶级制造商带着一个普通品牌——制造能力90分，品牌能力40分。在宠物食品行业从产能驱动转向品牌驱动的阶段，这个结构性不对称正在被放大。2025年公司净利润同比骤降40.1%至0.98亿元，产能利用率仅52%，经营现金流下降55.6%，研发费用三年累计下降超50%——几个指标同时指向一个结论：这个顶级制造商正在经历核心竞争力空心化。</w:t>
      </w:r>
    </w:p>
    <w:p>
      <w:r>
        <w:rPr>
          <w:i/>
          <w:color w:val="999999"/>
          <w:sz w:val="16"/>
        </w:rPr>
        <w:t>数据来源：福贝宠物港股招股书（2026年6月），腾讯新闻/长江商报（2026-06-08），新浪财经/中善资本（2026-06-02）</w:t>
      </w:r>
    </w:p>
    <w:p>
      <w:pPr>
        <w:pStyle w:val="Heading1"/>
      </w:pPr>
      <w:r>
        <w:rPr>
          <w:color w:val="1A2744"/>
        </w:rPr>
        <w:t>二、行业格局与竞品总矩阵</w:t>
      </w:r>
    </w:p>
    <w:p>
      <w:pPr>
        <w:pStyle w:val="Heading2"/>
      </w:pPr>
      <w:r>
        <w:rPr>
          <w:color w:val="1A2744"/>
        </w:rPr>
        <w:t>2.1  Porter五力扫描</w:t>
      </w:r>
    </w:p>
    <w:p>
      <w:r>
        <w:rPr>
          <w:color w:val="1A1A17"/>
          <w:sz w:val="21"/>
        </w:rPr>
        <w:t>中国宠物食品市场2025年规模547.19亿元，2015—2025十年增长超5倍，但2021—2024年CAGR已放缓至5.1%。前瞻产业研究院预测2026—2030年市场规模将扩大超660亿元。</w:t>
      </w:r>
    </w:p>
    <w:p>
      <w:r>
        <w:rPr>
          <w:b/>
          <w:color w:val="1A1A17"/>
          <w:sz w:val="21"/>
        </w:rPr>
        <w:t>▎ 现有竞争——极度分散。</w:t>
      </w:r>
      <w:r>
        <w:rPr>
          <w:color w:val="1A1A17"/>
          <w:sz w:val="21"/>
        </w:rPr>
        <w:t>公司CR5仅25.40%，品牌CR5仅18.90%，品牌CR10仅26.00%。74%的市场被前十名以外的品牌占据。低进入壁垒导致大量小微竞争者涌入，新品牌频出。线上渠道占比已达67.6%（2025年），渠道碎片化进一步摊薄了每个品牌的注意力份额。</w:t>
      </w:r>
    </w:p>
    <w:p>
      <w:r>
        <w:rPr>
          <w:b/>
          <w:color w:val="1A1A17"/>
          <w:sz w:val="21"/>
        </w:rPr>
        <w:t>▎ 潜在进入者——威胁大。</w:t>
      </w:r>
      <w:r>
        <w:rPr>
          <w:color w:val="1A1A17"/>
          <w:sz w:val="21"/>
        </w:rPr>
        <w:t>进入壁垒低、资金门槛不高，OEM/ODM代工生态成熟——任何有电商运营能力的团队都可以找福贝这样的代工厂贴牌。网易严选、京东京造等平台自有品牌进入就是最直接的例证。</w:t>
      </w:r>
    </w:p>
    <w:p>
      <w:r>
        <w:rPr>
          <w:b/>
          <w:color w:val="1A1A17"/>
          <w:sz w:val="21"/>
        </w:rPr>
        <w:t>▎ 上游议价——强势。</w:t>
      </w:r>
      <w:r>
        <w:rPr>
          <w:color w:val="1A1A17"/>
          <w:sz w:val="21"/>
        </w:rPr>
        <w:t>原材料成本在总成本中占比超60%，肉类和谷物供应商议价能力强。原料价格波动直接冲击宠物食品企业利润——福贝ODM毛利率从30.4%降至23.1%的核心原因之一就是原料成本上升叠加产能利用率下降。</w:t>
      </w:r>
    </w:p>
    <w:p>
      <w:r>
        <w:rPr>
          <w:b/>
          <w:color w:val="1A1A17"/>
          <w:sz w:val="21"/>
        </w:rPr>
        <w:t>▎ 下游议价——渠道分化的力量。</w:t>
      </w:r>
      <w:r>
        <w:rPr>
          <w:color w:val="1A1A17"/>
          <w:sz w:val="21"/>
        </w:rPr>
        <w:t>线上渠道占67.6%，平台掌握流量分配权，品牌对平台的议价能力普遍较弱。专业渠道（宠物店、宠物医院）对品牌推荐有极高影响权重——皇家正是靠这个建立了渠道壁垒。</w:t>
      </w:r>
    </w:p>
    <w:p>
      <w:r>
        <w:rPr>
          <w:b/>
          <w:color w:val="1A1A17"/>
          <w:sz w:val="21"/>
        </w:rPr>
        <w:t>▎ 替代品——威胁小。</w:t>
      </w:r>
      <w:r>
        <w:rPr>
          <w:color w:val="1A1A17"/>
          <w:sz w:val="21"/>
        </w:rPr>
        <w:t>宠物食品刚需属性强，自制宠粮占比极低且营养不均衡风险高。但鲜粮/生骨肉等新兴形态对传统干粮存在品类替代效应。</w:t>
      </w:r>
    </w:p>
    <w:p>
      <w:pPr>
        <w:pStyle w:val="Heading2"/>
      </w:pPr>
      <w:r>
        <w:rPr>
          <w:color w:val="1A2744"/>
        </w:rPr>
        <w:t>2.2  竞品一屏总表</w:t>
      </w:r>
    </w:p>
    <w:p>
      <w:r>
        <w:rPr>
          <w:color w:val="1A1A17"/>
          <w:sz w:val="21"/>
        </w:rPr>
        <w:t>以下将报告涉及的所有竞品按集团层级汇总，一屏看清竞争全貌。</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587"/>
            <w:shd w:val="clear" w:color="auto" w:fill="2C3E50"/>
          </w:tcPr>
          <w:p>
            <w:pPr>
              <w:jc w:val="center"/>
            </w:pPr>
            <w:r>
              <w:rPr>
                <w:b/>
                <w:color w:val="FFFFFF"/>
                <w:sz w:val="18"/>
              </w:rPr>
              <w:t>集团/主体</w:t>
            </w:r>
          </w:p>
        </w:tc>
        <w:tc>
          <w:tcPr>
            <w:tcW w:type="dxa" w:w="1814"/>
            <w:shd w:val="clear" w:color="auto" w:fill="2C3E50"/>
          </w:tcPr>
          <w:p>
            <w:pPr>
              <w:jc w:val="center"/>
            </w:pPr>
            <w:r>
              <w:rPr>
                <w:b/>
                <w:color w:val="FFFFFF"/>
                <w:sz w:val="18"/>
              </w:rPr>
              <w:t>关联品牌</w:t>
            </w:r>
          </w:p>
        </w:tc>
        <w:tc>
          <w:tcPr>
            <w:tcW w:type="dxa" w:w="1134"/>
            <w:shd w:val="clear" w:color="auto" w:fill="2C3E50"/>
          </w:tcPr>
          <w:p>
            <w:pPr>
              <w:jc w:val="center"/>
            </w:pPr>
            <w:r>
              <w:rPr>
                <w:b/>
                <w:color w:val="FFFFFF"/>
                <w:sz w:val="18"/>
              </w:rPr>
              <w:t>2025营收(亿)</w:t>
            </w:r>
          </w:p>
        </w:tc>
        <w:tc>
          <w:tcPr>
            <w:tcW w:type="dxa" w:w="907"/>
            <w:shd w:val="clear" w:color="auto" w:fill="2C3E50"/>
          </w:tcPr>
          <w:p>
            <w:pPr>
              <w:jc w:val="center"/>
            </w:pPr>
            <w:r>
              <w:rPr>
                <w:b/>
                <w:color w:val="FFFFFF"/>
                <w:sz w:val="18"/>
              </w:rPr>
              <w:t>毛利率</w:t>
            </w:r>
          </w:p>
        </w:tc>
        <w:tc>
          <w:tcPr>
            <w:tcW w:type="dxa" w:w="1587"/>
            <w:shd w:val="clear" w:color="auto" w:fill="2C3E50"/>
          </w:tcPr>
          <w:p>
            <w:pPr>
              <w:jc w:val="center"/>
            </w:pPr>
            <w:r>
              <w:rPr>
                <w:b/>
                <w:color w:val="FFFFFF"/>
                <w:sz w:val="18"/>
              </w:rPr>
              <w:t>核心模式</w:t>
            </w:r>
          </w:p>
        </w:tc>
        <w:tc>
          <w:tcPr>
            <w:tcW w:type="dxa" w:w="1247"/>
            <w:shd w:val="clear" w:color="auto" w:fill="2C3E50"/>
          </w:tcPr>
          <w:p>
            <w:pPr>
              <w:jc w:val="center"/>
            </w:pPr>
            <w:r>
              <w:rPr>
                <w:b/>
                <w:color w:val="FFFFFF"/>
                <w:sz w:val="18"/>
              </w:rPr>
              <w:t>分析层级</w:t>
            </w:r>
          </w:p>
        </w:tc>
      </w:tr>
      <w:tr>
        <w:tc>
          <w:tcPr>
            <w:tcW w:type="dxa" w:w="1587"/>
            <w:shd w:val="clear" w:color="auto" w:fill="F2F6FA"/>
          </w:tcPr>
          <w:p>
            <w:r>
              <w:rPr>
                <w:sz w:val="18"/>
              </w:rPr>
              <w:t>乖宝宠物(301498)</w:t>
            </w:r>
          </w:p>
        </w:tc>
        <w:tc>
          <w:tcPr>
            <w:tcW w:type="dxa" w:w="1814"/>
            <w:shd w:val="clear" w:color="auto" w:fill="F2F6FA"/>
          </w:tcPr>
          <w:p>
            <w:r>
              <w:rPr>
                <w:sz w:val="18"/>
              </w:rPr>
              <w:t>麦富迪/霸弗/奶弗/汪臻醇</w:t>
            </w:r>
          </w:p>
        </w:tc>
        <w:tc>
          <w:tcPr>
            <w:tcW w:type="dxa" w:w="1134"/>
            <w:shd w:val="clear" w:color="auto" w:fill="F2F6FA"/>
          </w:tcPr>
          <w:p>
            <w:r>
              <w:rPr>
                <w:sz w:val="18"/>
              </w:rPr>
              <w:t>67.69</w:t>
            </w:r>
          </w:p>
        </w:tc>
        <w:tc>
          <w:tcPr>
            <w:tcW w:type="dxa" w:w="907"/>
            <w:shd w:val="clear" w:color="auto" w:fill="F2F6FA"/>
          </w:tcPr>
          <w:p>
            <w:r>
              <w:rPr>
                <w:sz w:val="18"/>
              </w:rPr>
              <w:t>42.5%</w:t>
            </w:r>
          </w:p>
        </w:tc>
        <w:tc>
          <w:tcPr>
            <w:tcW w:type="dxa" w:w="1587"/>
            <w:shd w:val="clear" w:color="auto" w:fill="F2F6FA"/>
          </w:tcPr>
          <w:p>
            <w:r>
              <w:rPr>
                <w:sz w:val="18"/>
              </w:rPr>
              <w:t>品牌驱动</w:t>
            </w:r>
          </w:p>
        </w:tc>
        <w:tc>
          <w:tcPr>
            <w:tcW w:type="dxa" w:w="1247"/>
            <w:shd w:val="clear" w:color="auto" w:fill="F2F6FA"/>
          </w:tcPr>
          <w:p>
            <w:r>
              <w:rPr>
                <w:sz w:val="18"/>
              </w:rPr>
              <w:t>集团+品牌</w:t>
            </w:r>
          </w:p>
        </w:tc>
      </w:tr>
      <w:tr>
        <w:tc>
          <w:tcPr>
            <w:tcW w:type="dxa" w:w="1587"/>
          </w:tcPr>
          <w:p>
            <w:r>
              <w:rPr>
                <w:sz w:val="18"/>
              </w:rPr>
              <w:t>中宠股份(002891)</w:t>
            </w:r>
          </w:p>
        </w:tc>
        <w:tc>
          <w:tcPr>
            <w:tcW w:type="dxa" w:w="1814"/>
          </w:tcPr>
          <w:p>
            <w:r>
              <w:rPr>
                <w:sz w:val="18"/>
              </w:rPr>
              <w:t>顽皮/领先/真致</w:t>
            </w:r>
          </w:p>
        </w:tc>
        <w:tc>
          <w:tcPr>
            <w:tcW w:type="dxa" w:w="1134"/>
          </w:tcPr>
          <w:p>
            <w:r>
              <w:rPr>
                <w:sz w:val="18"/>
              </w:rPr>
              <w:t>~52</w:t>
            </w:r>
          </w:p>
        </w:tc>
        <w:tc>
          <w:tcPr>
            <w:tcW w:type="dxa" w:w="907"/>
          </w:tcPr>
          <w:p>
            <w:r>
              <w:rPr>
                <w:sz w:val="18"/>
              </w:rPr>
              <w:t>~27.5%</w:t>
            </w:r>
          </w:p>
        </w:tc>
        <w:tc>
          <w:tcPr>
            <w:tcW w:type="dxa" w:w="1587"/>
          </w:tcPr>
          <w:p>
            <w:r>
              <w:rPr>
                <w:sz w:val="18"/>
              </w:rPr>
              <w:t>OEM+品牌双轮</w:t>
            </w:r>
          </w:p>
        </w:tc>
        <w:tc>
          <w:tcPr>
            <w:tcW w:type="dxa" w:w="1247"/>
          </w:tcPr>
          <w:p>
            <w:r>
              <w:rPr>
                <w:sz w:val="18"/>
              </w:rPr>
              <w:t>集团+品牌</w:t>
            </w:r>
          </w:p>
        </w:tc>
      </w:tr>
      <w:tr>
        <w:tc>
          <w:tcPr>
            <w:tcW w:type="dxa" w:w="1587"/>
            <w:shd w:val="clear" w:color="auto" w:fill="F2F6FA"/>
          </w:tcPr>
          <w:p>
            <w:r>
              <w:rPr>
                <w:sz w:val="18"/>
              </w:rPr>
              <w:t>玛氏集团</w:t>
            </w:r>
          </w:p>
        </w:tc>
        <w:tc>
          <w:tcPr>
            <w:tcW w:type="dxa" w:w="1814"/>
            <w:shd w:val="clear" w:color="auto" w:fill="F2F6FA"/>
          </w:tcPr>
          <w:p>
            <w:r>
              <w:rPr>
                <w:sz w:val="18"/>
              </w:rPr>
              <w:t>皇家/宝路/伟嘉</w:t>
            </w:r>
          </w:p>
        </w:tc>
        <w:tc>
          <w:tcPr>
            <w:tcW w:type="dxa" w:w="1134"/>
            <w:shd w:val="clear" w:color="auto" w:fill="F2F6FA"/>
          </w:tcPr>
          <w:p>
            <w:r>
              <w:rPr>
                <w:sz w:val="18"/>
              </w:rPr>
              <w:t>非公开</w:t>
            </w:r>
          </w:p>
        </w:tc>
        <w:tc>
          <w:tcPr>
            <w:tcW w:type="dxa" w:w="907"/>
            <w:shd w:val="clear" w:color="auto" w:fill="F2F6FA"/>
          </w:tcPr>
          <w:p>
            <w:r>
              <w:rPr>
                <w:sz w:val="18"/>
              </w:rPr>
              <w:t>—</w:t>
            </w:r>
          </w:p>
        </w:tc>
        <w:tc>
          <w:tcPr>
            <w:tcW w:type="dxa" w:w="1587"/>
            <w:shd w:val="clear" w:color="auto" w:fill="F2F6FA"/>
          </w:tcPr>
          <w:p>
            <w:r>
              <w:rPr>
                <w:sz w:val="18"/>
              </w:rPr>
              <w:t>全球规模+处方壁垒</w:t>
            </w:r>
          </w:p>
        </w:tc>
        <w:tc>
          <w:tcPr>
            <w:tcW w:type="dxa" w:w="1247"/>
            <w:shd w:val="clear" w:color="auto" w:fill="F2F6FA"/>
          </w:tcPr>
          <w:p>
            <w:r>
              <w:rPr>
                <w:sz w:val="18"/>
              </w:rPr>
              <w:t>集团层</w:t>
            </w:r>
          </w:p>
        </w:tc>
      </w:tr>
      <w:tr>
        <w:tc>
          <w:tcPr>
            <w:tcW w:type="dxa" w:w="1587"/>
          </w:tcPr>
          <w:p>
            <w:r>
              <w:rPr>
                <w:sz w:val="18"/>
              </w:rPr>
              <w:t>雀巢集团</w:t>
            </w:r>
          </w:p>
        </w:tc>
        <w:tc>
          <w:tcPr>
            <w:tcW w:type="dxa" w:w="1814"/>
          </w:tcPr>
          <w:p>
            <w:r>
              <w:rPr>
                <w:sz w:val="18"/>
              </w:rPr>
              <w:t>普瑞纳/冠能</w:t>
            </w:r>
          </w:p>
        </w:tc>
        <w:tc>
          <w:tcPr>
            <w:tcW w:type="dxa" w:w="1134"/>
          </w:tcPr>
          <w:p>
            <w:r>
              <w:rPr>
                <w:sz w:val="18"/>
              </w:rPr>
              <w:t>非公开</w:t>
            </w:r>
          </w:p>
        </w:tc>
        <w:tc>
          <w:tcPr>
            <w:tcW w:type="dxa" w:w="907"/>
          </w:tcPr>
          <w:p>
            <w:r>
              <w:rPr>
                <w:sz w:val="18"/>
              </w:rPr>
              <w:t>—</w:t>
            </w:r>
          </w:p>
        </w:tc>
        <w:tc>
          <w:tcPr>
            <w:tcW w:type="dxa" w:w="1587"/>
          </w:tcPr>
          <w:p>
            <w:r>
              <w:rPr>
                <w:sz w:val="18"/>
              </w:rPr>
              <w:t>全球规模+研发</w:t>
            </w:r>
          </w:p>
        </w:tc>
        <w:tc>
          <w:tcPr>
            <w:tcW w:type="dxa" w:w="1247"/>
          </w:tcPr>
          <w:p>
            <w:r>
              <w:rPr>
                <w:sz w:val="18"/>
              </w:rPr>
              <w:t>集团层</w:t>
            </w:r>
          </w:p>
        </w:tc>
      </w:tr>
      <w:tr>
        <w:tc>
          <w:tcPr>
            <w:tcW w:type="dxa" w:w="1587"/>
            <w:shd w:val="clear" w:color="auto" w:fill="F2F6FA"/>
          </w:tcPr>
          <w:p>
            <w:r>
              <w:rPr>
                <w:sz w:val="18"/>
              </w:rPr>
              <w:t>吉家宠物集团</w:t>
            </w:r>
          </w:p>
        </w:tc>
        <w:tc>
          <w:tcPr>
            <w:tcW w:type="dxa" w:w="1814"/>
            <w:shd w:val="clear" w:color="auto" w:fill="F2F6FA"/>
          </w:tcPr>
          <w:p>
            <w:r>
              <w:rPr>
                <w:sz w:val="18"/>
              </w:rPr>
              <w:t>蓝氏</w:t>
            </w:r>
          </w:p>
        </w:tc>
        <w:tc>
          <w:tcPr>
            <w:tcW w:type="dxa" w:w="1134"/>
            <w:shd w:val="clear" w:color="auto" w:fill="F2F6FA"/>
          </w:tcPr>
          <w:p>
            <w:r>
              <w:rPr>
                <w:sz w:val="18"/>
              </w:rPr>
              <w:t>非公开</w:t>
            </w:r>
          </w:p>
        </w:tc>
        <w:tc>
          <w:tcPr>
            <w:tcW w:type="dxa" w:w="907"/>
            <w:shd w:val="clear" w:color="auto" w:fill="F2F6FA"/>
          </w:tcPr>
          <w:p>
            <w:r>
              <w:rPr>
                <w:sz w:val="18"/>
              </w:rPr>
              <w:t>—</w:t>
            </w:r>
          </w:p>
        </w:tc>
        <w:tc>
          <w:tcPr>
            <w:tcW w:type="dxa" w:w="1587"/>
            <w:shd w:val="clear" w:color="auto" w:fill="F2F6FA"/>
          </w:tcPr>
          <w:p>
            <w:r>
              <w:rPr>
                <w:sz w:val="18"/>
              </w:rPr>
              <w:t>品类创新</w:t>
            </w:r>
          </w:p>
        </w:tc>
        <w:tc>
          <w:tcPr>
            <w:tcW w:type="dxa" w:w="1247"/>
            <w:shd w:val="clear" w:color="auto" w:fill="F2F6FA"/>
          </w:tcPr>
          <w:p>
            <w:r>
              <w:rPr>
                <w:sz w:val="18"/>
              </w:rPr>
              <w:t>品牌层</w:t>
            </w:r>
          </w:p>
        </w:tc>
      </w:tr>
      <w:tr>
        <w:tc>
          <w:tcPr>
            <w:tcW w:type="dxa" w:w="1587"/>
          </w:tcPr>
          <w:p>
            <w:r>
              <w:rPr>
                <w:sz w:val="18"/>
              </w:rPr>
              <w:t>(独立品牌)</w:t>
            </w:r>
          </w:p>
        </w:tc>
        <w:tc>
          <w:tcPr>
            <w:tcW w:type="dxa" w:w="1814"/>
          </w:tcPr>
          <w:p>
            <w:r>
              <w:rPr>
                <w:sz w:val="18"/>
              </w:rPr>
              <w:t>伯纳天纯</w:t>
            </w:r>
          </w:p>
        </w:tc>
        <w:tc>
          <w:tcPr>
            <w:tcW w:type="dxa" w:w="1134"/>
          </w:tcPr>
          <w:p>
            <w:r>
              <w:rPr>
                <w:sz w:val="18"/>
              </w:rPr>
              <w:t>非公开</w:t>
            </w:r>
          </w:p>
        </w:tc>
        <w:tc>
          <w:tcPr>
            <w:tcW w:type="dxa" w:w="907"/>
          </w:tcPr>
          <w:p>
            <w:r>
              <w:rPr>
                <w:sz w:val="18"/>
              </w:rPr>
              <w:t>—</w:t>
            </w:r>
          </w:p>
        </w:tc>
        <w:tc>
          <w:tcPr>
            <w:tcW w:type="dxa" w:w="1587"/>
          </w:tcPr>
          <w:p>
            <w:r>
              <w:rPr>
                <w:sz w:val="18"/>
              </w:rPr>
              <w:t>高端国货+安全</w:t>
            </w:r>
          </w:p>
        </w:tc>
        <w:tc>
          <w:tcPr>
            <w:tcW w:type="dxa" w:w="1247"/>
          </w:tcPr>
          <w:p>
            <w:r>
              <w:rPr>
                <w:sz w:val="18"/>
              </w:rPr>
              <w:t>品牌层</w:t>
            </w:r>
          </w:p>
        </w:tc>
      </w:tr>
      <w:tr>
        <w:tc>
          <w:tcPr>
            <w:tcW w:type="dxa" w:w="1587"/>
            <w:shd w:val="clear" w:color="auto" w:fill="F2F6FA"/>
          </w:tcPr>
          <w:p>
            <w:r>
              <w:rPr>
                <w:sz w:val="18"/>
              </w:rPr>
              <w:t>(独立品牌)</w:t>
            </w:r>
          </w:p>
        </w:tc>
        <w:tc>
          <w:tcPr>
            <w:tcW w:type="dxa" w:w="1814"/>
            <w:shd w:val="clear" w:color="auto" w:fill="F2F6FA"/>
          </w:tcPr>
          <w:p>
            <w:r>
              <w:rPr>
                <w:sz w:val="18"/>
              </w:rPr>
              <w:t>鲜朗</w:t>
            </w:r>
          </w:p>
        </w:tc>
        <w:tc>
          <w:tcPr>
            <w:tcW w:type="dxa" w:w="1134"/>
            <w:shd w:val="clear" w:color="auto" w:fill="F2F6FA"/>
          </w:tcPr>
          <w:p>
            <w:r>
              <w:rPr>
                <w:sz w:val="18"/>
              </w:rPr>
              <w:t>非公开</w:t>
            </w:r>
          </w:p>
        </w:tc>
        <w:tc>
          <w:tcPr>
            <w:tcW w:type="dxa" w:w="907"/>
            <w:shd w:val="clear" w:color="auto" w:fill="F2F6FA"/>
          </w:tcPr>
          <w:p>
            <w:r>
              <w:rPr>
                <w:sz w:val="18"/>
              </w:rPr>
              <w:t>—</w:t>
            </w:r>
          </w:p>
        </w:tc>
        <w:tc>
          <w:tcPr>
            <w:tcW w:type="dxa" w:w="1587"/>
            <w:shd w:val="clear" w:color="auto" w:fill="F2F6FA"/>
          </w:tcPr>
          <w:p>
            <w:r>
              <w:rPr>
                <w:sz w:val="18"/>
              </w:rPr>
              <w:t>冻干品类=品牌</w:t>
            </w:r>
          </w:p>
        </w:tc>
        <w:tc>
          <w:tcPr>
            <w:tcW w:type="dxa" w:w="1247"/>
            <w:shd w:val="clear" w:color="auto" w:fill="F2F6FA"/>
          </w:tcPr>
          <w:p>
            <w:r>
              <w:rPr>
                <w:sz w:val="18"/>
              </w:rPr>
              <w:t>品牌层</w:t>
            </w:r>
          </w:p>
        </w:tc>
      </w:tr>
      <w:tr>
        <w:tc>
          <w:tcPr>
            <w:tcW w:type="dxa" w:w="1587"/>
          </w:tcPr>
          <w:p>
            <w:r>
              <w:rPr>
                <w:sz w:val="18"/>
              </w:rPr>
              <w:t>福贝宠食(拟IPO)</w:t>
            </w:r>
          </w:p>
        </w:tc>
        <w:tc>
          <w:tcPr>
            <w:tcW w:type="dxa" w:w="1814"/>
          </w:tcPr>
          <w:p>
            <w:r>
              <w:rPr>
                <w:sz w:val="18"/>
              </w:rPr>
              <w:t>比乐/爱倍/品卓</w:t>
            </w:r>
          </w:p>
        </w:tc>
        <w:tc>
          <w:tcPr>
            <w:tcW w:type="dxa" w:w="1134"/>
          </w:tcPr>
          <w:p>
            <w:r>
              <w:rPr>
                <w:sz w:val="18"/>
              </w:rPr>
              <w:t>10.21</w:t>
            </w:r>
          </w:p>
        </w:tc>
        <w:tc>
          <w:tcPr>
            <w:tcW w:type="dxa" w:w="907"/>
          </w:tcPr>
          <w:p>
            <w:r>
              <w:rPr>
                <w:sz w:val="18"/>
              </w:rPr>
              <w:t>31.6%</w:t>
            </w:r>
          </w:p>
        </w:tc>
        <w:tc>
          <w:tcPr>
            <w:tcW w:type="dxa" w:w="1587"/>
          </w:tcPr>
          <w:p>
            <w:r>
              <w:rPr>
                <w:sz w:val="18"/>
              </w:rPr>
              <w:t>ODM+比乐品牌</w:t>
            </w:r>
          </w:p>
        </w:tc>
        <w:tc>
          <w:tcPr>
            <w:tcW w:type="dxa" w:w="1247"/>
          </w:tcPr>
          <w:p>
            <w:r>
              <w:rPr>
                <w:sz w:val="18"/>
              </w:rPr>
              <w:t>集团+品牌</w:t>
            </w:r>
          </w:p>
        </w:tc>
      </w:tr>
    </w:tbl>
    <w:p/>
    <w:p>
      <w:pPr>
        <w:jc w:val="center"/>
      </w:pPr>
      <w:r>
        <w:drawing>
          <wp:inline xmlns:a="http://schemas.openxmlformats.org/drawingml/2006/main" xmlns:pic="http://schemas.openxmlformats.org/drawingml/2006/picture">
            <wp:extent cx="5760720" cy="3190553"/>
            <wp:docPr id="1" name="Picture 1"/>
            <wp:cNvGraphicFramePr>
              <a:graphicFrameLocks noChangeAspect="1"/>
            </wp:cNvGraphicFramePr>
            <a:graphic>
              <a:graphicData uri="http://schemas.openxmlformats.org/drawingml/2006/picture">
                <pic:pic>
                  <pic:nvPicPr>
                    <pic:cNvPr id="0" name="chart-pie-market-share.png"/>
                    <pic:cNvPicPr/>
                  </pic:nvPicPr>
                  <pic:blipFill>
                    <a:blip r:embed="rId9"/>
                    <a:stretch>
                      <a:fillRect/>
                    </a:stretch>
                  </pic:blipFill>
                  <pic:spPr>
                    <a:xfrm>
                      <a:off x="0" y="0"/>
                      <a:ext cx="5760720" cy="3190553"/>
                    </a:xfrm>
                    <a:prstGeom prst="rect"/>
                  </pic:spPr>
                </pic:pic>
              </a:graphicData>
            </a:graphic>
          </wp:inline>
        </w:drawing>
      </w:r>
    </w:p>
    <w:p>
      <w:pPr>
        <w:jc w:val="center"/>
      </w:pPr>
      <w:r>
        <w:rPr>
          <w:i/>
          <w:color w:val="999999"/>
          <w:sz w:val="16"/>
        </w:rPr>
        <w:t>图1：中国宠物食品品牌集中度（2024）| 来源：前瞻产业研究院</w:t>
      </w:r>
    </w:p>
    <w:p/>
    <w:p>
      <w:r>
        <w:rPr>
          <w:b/>
          <w:color w:val="1A1A17"/>
          <w:sz w:val="21"/>
        </w:rPr>
        <w:t xml:space="preserve">▎ </w:t>
      </w:r>
      <w:r>
        <w:rPr>
          <w:color w:val="1A1A17"/>
          <w:sz w:val="21"/>
        </w:rPr>
        <w:t>品牌CR5仅18.90%，CR10仅26.00%——74%的市场被前十名外品牌占据。市场尚处于有品类无品牌的阶段，对具备品牌建设能力的企业存在巨大的整合机会。但对比乐而言，分散格局意味着竞争压力来自四面八方——既有国际巨头（玛氏/雀巢）的高端压制，又有新兴品牌（鲜朗/蓝氏）的品类切割，还有大量小微竞争者的价格侵蚀。</w:t>
      </w:r>
    </w:p>
    <w:p>
      <w:pPr>
        <w:pStyle w:val="Heading1"/>
      </w:pPr>
      <w:r>
        <w:rPr>
          <w:color w:val="1A2744"/>
        </w:rPr>
        <w:t>三、竞品五维扫描</w:t>
      </w:r>
    </w:p>
    <w:p>
      <w:pPr>
        <w:pStyle w:val="Heading2"/>
      </w:pPr>
      <w:r>
        <w:t xml:space="preserve">3.1  乖宝集团 + 麦富迪品牌</w:t>
      </w:r>
    </w:p>
    <w:p>
      <w:pPr>
        <w:pStyle w:val="Heading3"/>
      </w:pPr>
      <w:r>
        <w:t xml:space="preserve">① 集团层级：市场与财务</w:t>
      </w:r>
    </w:p>
    <w:p>
      <w:pPr/>
      <w:r>
        <w:t xml:space="preserve">乖宝宠物（301498）是中国宠物食品行业品牌驱动模式的标杆。2025年营收67.69亿元（+29.06%），归母净利润6.73亿元（+7.75%），扣非净利润6.65亿元（+10.80%）。营收规模在已上市宠粮企业中断层领先，是第二名中宠的1.3倍，是福贝的6.6倍。综合毛利率从42.27%升至42.5%，产品结构持续优化。但销售费用占比高且增幅大，乖宝正在为维持品牌地位支付越来越高的入场费。</w:t>
      </w:r>
    </w:p>
    <w:p>
      <w:pPr/>
      <w:r>
        <w:t xml:space="preserve">利润归因方面，增速剪刀差在扩大。2025年营收增长15.24亿元但净利润仅增0.48亿元。增量收入中大部分被销售费用增长所吞噬。结构性来看，乖宝已进入品牌规模扩张的成本支付期。核心关注点在于当营收增速从29%回落但费用率已高位定型时，利润是否面临更大压力。</w:t>
      </w:r>
    </w:p>
    <w:p>
      <w:pPr>
        <w:pStyle w:val="Heading3"/>
      </w:pPr>
      <w:r>
        <w:t xml:space="preserve">② 集团层级：收入结构</w:t>
      </w:r>
    </w:p>
    <w:p>
      <w:pPr/>
      <w:r>
        <w:t xml:space="preserve">乖宝自有品牌占比67.7%，在已上市宠粮企业中最高。近七成收入来自品牌溢价而非代工利润，这使得乖宝在原料涨价周期中仍能维持甚至提升毛利率。对比福贝OBM占比仅34.3%且在萎缩，两者估值逻辑的差距根源正在于此。</w:t>
      </w:r>
    </w:p>
    <w:p>
      <w:pPr>
        <w:pStyle w:val="Heading3"/>
      </w:pPr>
      <w:r>
        <w:t xml:space="preserve">③ 品牌层级：麦富迪品牌力</w:t>
      </w:r>
    </w:p>
    <w:p>
      <w:pPr/>
      <w:r>
        <w:t xml:space="preserve">麦富迪被欧睿咨询于2025年8月认证为中国宠物食品第一品牌，全平台年销售额突破20亿元，市占率约4%。其护城河是一套环环相扣的系统化正向飞轮：数据驱动的研发体系（国内首个WarmData犬猫天性研究大数据中心），透明工厂的信任货币化（十年厂开玩工厂开放日已累计邀请超万名消费者），全球供应链的联合研发（与挪威阿克联合开发专属海洋活性营养方案）。研发投入3年超2亿元，持有专利364项。</w:t>
      </w:r>
    </w:p>
    <w:p>
      <w:pPr/>
      <w:r>
        <w:t xml:space="preserve">对比比乐，差距的本质不是资源而是飞轮方向。福贝也有犬猫营养数据库，也牵头行业标准，有SGS月检加区块链存证的品控体系。但福贝的研发投入三年降超50%，SGS和区块链从未被有效传播。</w:t>
      </w:r>
    </w:p>
    <w:p>
      <w:pPr>
        <w:pStyle w:val="Heading3"/>
      </w:pPr>
      <w:r>
        <w:t xml:space="preserve">④ 麦富迪产品力</w:t>
      </w:r>
    </w:p>
    <w:p>
      <w:pPr/>
      <w:r>
        <w:t xml:space="preserve">麦富迪已形成覆盖多品牌、多品类、多价格带的完整矩阵。天猫旗舰店回头客10万，评分5.0，好评率99%。霸弗猫粮已售30万加，稳居天猫热销榜第1名，超6万回头客、超9万人加购。舒然鱼油猫粮10万加付款，斤价约20元。BARF霸弗狗粮试吃9万加，牛肉蓝莓双拼狗粮8万加。</w:t>
      </w:r>
    </w:p>
    <w:p>
      <w:pPr/>
      <w:r>
        <w:t xml:space="preserve">京东体量更大。超肉粒冻干猫粮10kg已售300万加，霸弗成猫粮两个SKU各200万加，霸弗烘焙猫粮6kg 100万加。狗粮线牛肉双拼犬粮10kg 100万加，老年犬粮70万加。猫粮斤价12到55元，狗粮15到38元，价格带最宽。</w:t>
      </w:r>
    </w:p>
    <w:p>
      <w:pPr/>
      <w:r>
        <w:t xml:space="preserve">零食线同样强劲：火腿肠6万加，猫条4万加，冻干鸡肉粒桶4万加，猫罐头4万加，羊奶粉5万加。评价核心词为猫咪爱吃和会回购。</w:t>
      </w:r>
    </w:p>
    <w:p>
      <w:pPr>
        <w:pStyle w:val="Heading3"/>
      </w:pPr>
      <w:r>
        <w:t xml:space="preserve">⑤ 趋势与人群</w:t>
      </w:r>
    </w:p>
    <w:p>
      <w:pPr/>
      <w:r>
        <w:t xml:space="preserve">麦富迪覆盖全人群，从Z世代首宠主到高端老年宠主，从猫经济到狗粮全价位带。消费者不是想买猫粮而看到麦富迪，而是信任麦富迪而选择它的猫粮，这是品牌资产的最高形态。</w:t>
      </w:r>
    </w:p>
    <w:p>
      <w:pPr>
        <w:pStyle w:val="Heading2"/>
      </w:pPr>
      <w:r>
        <w:t xml:space="preserve">3.2  中宠股份 + 顽皮品牌</w:t>
      </w:r>
    </w:p>
    <w:p>
      <w:pPr>
        <w:pStyle w:val="Heading3"/>
      </w:pPr>
      <w:r>
        <w:t xml:space="preserve">① 集团层级：市场与财务</w:t>
      </w:r>
    </w:p>
    <w:p>
      <w:pPr/>
      <w:r>
        <w:t xml:space="preserve">中宠股份（002891）是中国宠粮行业老牌企业。2024年营收44.65亿元（+19.15%），归母净利润3.94亿元（+68.89%）。2025年营收增至约52亿元（+17%），但净利润出现下降。宠物零食营收24.71亿元（+5.10%，毛利率24.93%），主粮营收11.07亿元（+91.85%，毛利率34.59%）。主粮91.85%的惊人增速背后是巨大的营销费用前置投入。</w:t>
      </w:r>
    </w:p>
    <w:p>
      <w:pPr/>
      <w:r>
        <w:t xml:space="preserve">OEM业务贡献26.16亿元收入，自有品牌仅11.95亿元（占比31.67%）。中宠比福贝更依赖代工、比乖宝品牌占比低得多，相当于乖宝的规模但福贝的结构。主粮11亿规模在行业500亿加市场中占比不足2%，品牌势能远未形成。</w:t>
      </w:r>
    </w:p>
    <w:p>
      <w:pPr>
        <w:pStyle w:val="Heading3"/>
      </w:pPr>
      <w:r>
        <w:t xml:space="preserve">② 品牌层级：顽皮天猫数据</w:t>
      </w:r>
    </w:p>
    <w:p>
      <w:pPr/>
      <w:r>
        <w:t xml:space="preserve">中宠旗下顽皮品牌是天猫运营最扎实的国产宠粮品牌之一。天猫顽皮旗舰店回头客6万，店铺覆盖猫粮、狗粮、零食、罐头全品类，30加个SKU有明确付款数据。</w:t>
      </w:r>
    </w:p>
    <w:p>
      <w:pPr/>
      <w:r>
        <w:t xml:space="preserve">猫主食餐盒已售10万加，位列回购榜第2名。冻干双鲜猫粮已售10万加，回购榜第4名。零食试吃装20万加，位居全店最高单品。猫咪试吃装10万加。猫条产品线完整，多个SKU分别有7万加、6万加、5万加付款。小金盾鲜肉猫粮7万加，烘焙猫粮试吃2万加。狗零食鸭肉干4万加，磨牙棒4万加，狗粮5000加。</w:t>
      </w:r>
    </w:p>
    <w:p>
      <w:pPr/>
      <w:r>
        <w:t xml:space="preserve">天猫头部爆款集中在8到10元斤价，主粮价格带在15到20元。顽皮以猫零食为核心引擎，猫主粮有品类纵深但狗粮线相对弱。品牌消费者认知以高性价比国产宠粮为主，28年历史全球77国销售的出口品质是核心差异点。</w:t>
      </w:r>
    </w:p>
    <w:p>
      <w:pPr>
        <w:pStyle w:val="Heading3"/>
      </w:pPr>
      <w:r>
        <w:t xml:space="preserve">③ 趋势与人群</w:t>
      </w:r>
    </w:p>
    <w:p>
      <w:pPr/>
      <w:r>
        <w:t xml:space="preserve">顽皮核心人群是追求性价比的成熟宠主，天猫6万回头客验证了复购粘性，但用户画像偏向30岁加的有宠家庭，Z世代渗透不足。趋势上，中宠正在经历代工企业到品牌企业的结构性转型——主粮91.85%的增速说明品类延伸方向正确，但品牌认知仍然卡在便宜的国产粮，与麦富迪的第一品牌、伯纳天纯的高端安全之间存在叙事空档。猫零食→猫主粮→狗粮的品类延伸路径务实，关键挑战是能否在猫主粮建立品类认知后再向狗粮扩展，而不是两头都做但两头都不锋利。</w:t>
      </w:r>
    </w:p>
    <w:p>
      <w:pPr>
        <w:pStyle w:val="Heading2"/>
      </w:pPr>
      <w:r>
        <w:t xml:space="preserve">3.3  伯纳天纯</w:t>
      </w:r>
    </w:p>
    <w:p>
      <w:pPr/>
      <w:r>
        <w:t xml:space="preserve">伯纳天纯是国产高端狗粮的代表品牌。2022年获L Catterton（LVMH旗下全球最大消费品基金）独家投资，这一背景在消费者心智中完成了从国产粮之一到被国际顶级基金认可的认知跳跃。</w:t>
      </w:r>
    </w:p>
    <w:p>
      <w:pPr>
        <w:pStyle w:val="Heading3"/>
      </w:pPr>
      <w:r>
        <w:t xml:space="preserve">① 市场/渠道</w:t>
      </w:r>
    </w:p>
    <w:p>
      <w:pPr/>
      <w:r>
        <w:t xml:space="preserve">天猫旗舰店回头客2万，评分5.0，88VIP好评率98%。狗粮主力斤价42到70元。核心爆款生鲜2.0鸭肉梨2kg已售10万加，超3万回头客，斤价约61元。舒纯PRO鸭肉梨2kg 6万加付款，斤价约43元。猫粮生鲜2.0仅1万加，猫线明显弱。</w:t>
      </w:r>
    </w:p>
    <w:p>
      <w:pPr/>
      <w:r>
        <w:t xml:space="preserve">京东自营走大包装囤货。鸭肉梨三拼冻干10kg已售100万加，7500加人复购。中大型成犬粮17kg和中小型成犬粮10kg均破100万加。老年犬线15kg已售10万加，30天加购飙升5倍。京东与天猫分工清晰，天猫做新客试吃，京东做存量复购囤货。</w:t>
      </w:r>
    </w:p>
    <w:p>
      <w:pPr/>
      <w:r>
        <w:t xml:space="preserve">线下渠道覆盖40000门店。LVMH系资本背书在线下宠物店渠道有品牌溢价体现。抖音近30天44场直播场均8.7小时，月销3692单，角色为品牌曝光场非销售主阵地。</w:t>
      </w:r>
    </w:p>
    <w:p>
      <w:pPr>
        <w:pStyle w:val="Heading3"/>
      </w:pPr>
      <w:r>
        <w:t xml:space="preserve">② 品牌力</w:t>
      </w:r>
    </w:p>
    <w:p>
      <w:pPr/>
      <w:r>
        <w:t xml:space="preserve">品牌核心叙事围绕最安全的国产粮展开。HPP超高压杀菌技术加安心码1200加项检测为技术背书。但线上内容生态偏弱，种草内容密度远低于蓝氏和麦富迪。产品页面缺少鲜肉含量百分比等量化锚点，页面卖点表达含蓄。</w:t>
      </w:r>
    </w:p>
    <w:p>
      <w:pPr>
        <w:pStyle w:val="Heading3"/>
      </w:pPr>
      <w:r>
        <w:t xml:space="preserve">③ 产品</w:t>
      </w:r>
    </w:p>
    <w:p>
      <w:pPr/>
      <w:r>
        <w:t xml:space="preserve">生鲜系列为核心大单品线，鸭肉梨配方获尚普咨询全网口碑第一认证。老年犬挚护好评榜第1名。产品线集中度较高，狗粮强猫粮弱，干粮强湿粮冻干弱。</w:t>
      </w:r>
    </w:p>
    <w:p>
      <w:pPr>
        <w:pStyle w:val="Heading3"/>
      </w:pPr>
      <w:r>
        <w:t xml:space="preserve">④ 趋势与人群</w:t>
      </w:r>
    </w:p>
    <w:p>
      <w:pPr/>
      <w:r>
        <w:t xml:space="preserve">核心人群为重视食品安全、愿意为品质支付溢价的中高端犬主，尤其大型犬和纯种犬主人，L Catterton背书在这一人群中形成了有效的品牌信任。猫主人渗透严重不足，人群天花板明显。趋势上，国产高端化是确定性方向，但伯纳天纯面临狗粮根据地稳固但增长空间有限、猫粮想做但品牌心智不支持的困境。线上种草密度低是最大短板——产品够好但内容不够多，在Z世代养宠决策的信息路径上整体缺位。老年犬市场的先发布局是长期结构性优势，随着中国宠物老龄化加速，这一品类的战略价值将持续上升。</w:t>
      </w:r>
    </w:p>
    <w:p>
      <w:pPr>
        <w:pStyle w:val="Heading2"/>
      </w:pPr>
      <w:r>
        <w:t xml:space="preserve">3.4  蓝氏 × 鲜朗：品类创新者的崛起</w:t>
      </w:r>
    </w:p>
    <w:p>
      <w:pPr>
        <w:pStyle w:val="Heading3"/>
      </w:pPr>
      <w:r>
        <w:t xml:space="preserve">① 市场/渠道——线上为王</w:t>
      </w:r>
    </w:p>
    <w:p>
      <w:pPr/>
      <w:r>
        <w:t xml:space="preserve">蓝氏（吉家宠物集团旗下）天猫旗舰店回头客10万。核心爆款猎鸟乳鸽冻干猫粮1.5kg已售20万加，稳居回购榜第1名。尝鲜装30万加，试吃装100万加，品牌有老爸抽检信任背书。2025天猫618排名第3、双11排名第2。抖音92.7万粉。</w:t>
      </w:r>
    </w:p>
    <w:p>
      <w:pPr/>
      <w:r>
        <w:t xml:space="preserve">鲜朗的电商定位更为精准。2025天猫618和双11宠物品牌成交榜均列第1名，断层领先。连续五年犬猫烘焙粮TOP1。以小红书和搜索战为核心策略，建立冻干等于鲜朗的品类品牌心智绑定。京东存在感弱于天猫。</w:t>
      </w:r>
    </w:p>
    <w:p>
      <w:pPr>
        <w:pStyle w:val="Heading3"/>
      </w:pPr>
      <w:r>
        <w:t xml:space="preserve">② 品牌力——品类锚点的教科书级执行</w:t>
      </w:r>
    </w:p>
    <w:p>
      <w:pPr/>
      <w:r>
        <w:t xml:space="preserve">蓝氏抓住了鲜肉粮这个增长最快的细分赛道，在抖音提前卡位，用王濛联名（2026年4月官宣日抖音313.7万喜欢）引爆社交传播。2023年以新手养猫攻略精准捕获Z世代首宠人群。鲜朗更纯粹，将全部传播资源聚焦在一个冻干关键词上，以搜索占据为核心策略。</w:t>
      </w:r>
    </w:p>
    <w:p>
      <w:pPr>
        <w:pStyle w:val="Heading3"/>
      </w:pPr>
      <w:r>
        <w:t xml:space="preserve">③ 产品——极简聚焦</w:t>
      </w:r>
    </w:p>
    <w:p>
      <w:pPr/>
      <w:r>
        <w:t xml:space="preserve">蓝氏聚焦鲜肉粮和冻干生骨肉，约5到8个核心SKU。鲜朗SKU更少。极简聚焦的优劣分明：消费者认知清晰、库存管理简单、爆品概率高，但市场规模天花板低、生命周期价值未被充分挖掘。</w:t>
      </w:r>
    </w:p>
    <w:p>
      <w:pPr>
        <w:pStyle w:val="Heading3"/>
      </w:pPr>
      <w:r>
        <w:t xml:space="preserve">④ 趋势与人群</w:t>
      </w:r>
    </w:p>
    <w:p>
      <w:pPr/>
      <w:r>
        <w:t xml:space="preserve">蓝氏核心用户是Z世代首宠主，短视频原住民，购买决策高度依赖抖音内容种草和KOL信任传递。鲜朗用户更偏烘焙粮认知升级型消费者，对品类有明确偏好和主动搜索行为。趋势上，品类创新窗口期正在收窄——当冻干烘焙粮从蓝海变为红海，品类独占心智的维持成本将大幅上升。蓝氏和鲜朗面临从品类锚定升级为品牌锚定的关键一跃，否则一旦更多品牌涌入烘焙赛道，品类红利将被稀释。吉家集团蓝氏加疯狂小狗的双品牌矩阵实现了中高端加高性价比的人群互补，但品牌间协同效应尚未释放，蓝氏的爆品能力没有被疯狂小狗复用。</w:t>
      </w:r>
    </w:p>
    <w:p>
      <w:pPr>
        <w:pStyle w:val="Heading2"/>
      </w:pPr>
      <w:r>
        <w:t xml:space="preserve">3.5  比瑞吉 / 卫仕 / 皇家 / 冠能 / 疯狂小狗 / 醇粹 / 耐威克 / 顶制 / 凯锐思</w:t>
      </w:r>
    </w:p>
    <w:p>
      <w:pPr>
        <w:pStyle w:val="Heading3"/>
      </w:pPr>
      <w:r>
        <w:t xml:space="preserve">① 比瑞吉</w:t>
      </w:r>
    </w:p>
    <w:p>
      <w:pPr/>
      <w:r>
        <w:t xml:space="preserve">比瑞吉在天猫开设12年老店。优选狗粮老年犬1万加付款，登中小型犬回购榜。优选猫粮6000加付款，M85低温烘焙85%鲜肉猫粮4000加付款，草本猫粮3000加付款。产品特色为草本添加的中式食养定位和乌鸡原料的差异化叙事。整体中等体量，缺乏20万加级爆款。趋势层面，12年品牌积淀是一把双刃剑——老用户忠诚度高但品牌老化风险明显，中式食养的差异化定位有独特性但市场教育成本高，体量上难以与头部品牌在流量竞价中正面对抗。</w:t>
      </w:r>
    </w:p>
    <w:p>
      <w:pPr>
        <w:pStyle w:val="Heading3"/>
      </w:pPr>
      <w:r>
        <w:t xml:space="preserve">② 卫仕</w:t>
      </w:r>
    </w:p>
    <w:p>
      <w:pPr/>
      <w:r>
        <w:t xml:space="preserve">上海宠幸宠物旗下，2005年从宠物营养品起家。天猫旗舰店回头客6万。化毛魔方冻干10万加付款，美毛爆爆袋猫粮10万加付款（热销榜第1名）。营养品线（宠物维生素、化毛膏、鱼油）同样强势。自建工厂加宠物研究院的生物科技背书是核心差异化。从营养品到主粮的品类延伸是国产宠粮中最成功的案例之一。趋势层面，营养品的健康标签是极强的心智资产——消费者接受卫仕做猫粮的逻辑是它本身就是做宠物健康的，这比一个零食品牌做猫粮的信任门槛低得多。核心挑战是主粮体量如何从10万加级突破到30万加级，这需要超大爆款的涌现。</w:t>
      </w:r>
    </w:p>
    <w:p>
      <w:pPr>
        <w:pStyle w:val="Heading3"/>
      </w:pPr>
      <w:r>
        <w:t xml:space="preserve">③ 皇家（玛氏）</w:t>
      </w:r>
    </w:p>
    <w:p>
      <w:pPr/>
      <w:r>
        <w:t xml:space="preserve">京东自营旗舰店强势，处方粮和品种专用粮为核心差异化。处方粮复购率高达78%，兽医推荐渠道的深度绑定形成了极难被国产替代的护城河。2025艾媒金榜第2名。趋势层面，处方粮赛道的护城河短期内不可撼动，但皇家在大众猫粮市场的份额正在被国产头部品牌侵蚀——兽医渠道和电商渠道的用户重叠度不高，皇家在电商端的内容能力和价格竞争力都处于劣势。</w:t>
      </w:r>
    </w:p>
    <w:p>
      <w:pPr>
        <w:pStyle w:val="Heading3"/>
      </w:pPr>
      <w:r>
        <w:t xml:space="preserve">④ 冠能/普瑞纳（雀巢）</w:t>
      </w:r>
    </w:p>
    <w:p>
      <w:pPr/>
      <w:r>
        <w:t xml:space="preserve">京东主力品LiveClear抗过敏猫粮为核心差异化产品，另有体重控制猫粮、肾脏护理处方粮。雀巢全球超500名宠物护理科学家，年度研发投入远超中国任何一家本土企业。2025年618与美团合作30分钟达即时零售模式。趋势层面，全球研发资源是竞争对手无法复制的壁垒，但冠能在中国市场的本土化速度偏慢——产品创新的节奏和内容营销的密度都跟不上国产头部品牌。即时零售渠道是差异化增量，但需要持续投入才能形成用户习惯。</w:t>
      </w:r>
    </w:p>
    <w:p>
      <w:pPr>
        <w:pStyle w:val="Heading3"/>
      </w:pPr>
      <w:r>
        <w:t xml:space="preserve">⑤ 疯狂小狗（吉家集团）</w:t>
      </w:r>
    </w:p>
    <w:p>
      <w:pPr/>
      <w:r>
        <w:t xml:space="preserve">与蓝氏同属吉家宠物集团，2014年创立，主打高性价比定位。2025艾媒金榜排名第3。核心产品鸭肉梨、牛肉益生四拼冻干粮、零食大礼包。趋势层面，高性价比是下沉市场的入场券但不是护城河——当麦富迪和顽皮同时下探价格带，疯狂小狗的生存空间会受到挤压。与蓝氏同属吉家集团是结构性优势，但两家品牌的协同停留在集团架构层面，营销和渠道上未见明显联动。</w:t>
      </w:r>
    </w:p>
    <w:p>
      <w:pPr>
        <w:pStyle w:val="Heading3"/>
      </w:pPr>
      <w:r>
        <w:t xml:space="preserve">⑥ 醇粹/耐威克/顶制/凯锐思</w:t>
      </w:r>
    </w:p>
    <w:p>
      <w:pPr/>
      <w:r>
        <w:t xml:space="preserve">醇粹主攻狗粮中高端，黑标和金标系列。耐威克18年品牌，主张专宠专用概念。顶制主打新鲜生产概念，覆盖猫粮狗粮鸟粮，定位小众。凯锐思为互联网宠粮品牌，猫砂加宠粮双线布局。这四家品牌在细分赛道或特定渠道各有立足点，但整体规模偏小，尚未进入行业前二十的核心竞争圈。趋势上，极致细分是小品牌的生存策略——与其在猫粮狗粮的大市场里与头部品牌拼投放预算，不如在老年犬、鸟粮、专宠专用等长尾赛道上建立小而深的根据地。</w:t>
      </w:r>
    </w:p>
    <w:p>
      <w:pPr>
        <w:pStyle w:val="Heading3"/>
      </w:pPr>
      <w:r>
        <w:t xml:space="preserve">⑦ 本节品牌趋势综述</w:t>
      </w:r>
    </w:p>
    <w:p>
      <w:pPr/>
      <w:r>
        <w:t xml:space="preserve">这组品牌的共同信号：宠粮市场正在经历第二轮分层——第一轮是国产替代进口的头部集中，第二轮是细分赛道的百花齐放。比瑞吉的中式食养、卫仕的营养品基因、醇粹的高端狗粮、顶制的新鲜生产，本质上都是在同一个主粮大池子里寻找差异化水源。判断标准不是现在的体量，而是各自的差异化水源能否持续提供不被头部品牌稀释的用户价值。</w:t>
      </w:r>
    </w:p>
    <w:p>
      <w:r>
        <w:t xml:space="preserve">图X+3：各品牌天猫店铺回头客对比（万）</w:t>
      </w:r>
    </w:p>
    <w:p>
      <w:drawing>
        <wp:inline xmlns:a="http://schemas.openxmlformats.org/drawingml/2006/main" xmlns:pic="http://schemas.openxmlformats.org/drawingml/2006/picture">
          <wp:extent cx="5760720" cy="3190553"/>
          <wp:docPr id="1" name="Picture 1"/>
          <wp:cNvGraphicFramePr>
            <a:graphicFrameLocks noChangeAspect="1"/>
          </wp:cNvGraphicFramePr>
          <a:graphic>
            <a:graphicData uri="http://schemas.openxmlformats.org/drawingml/2006/picture">
              <pic:pic>
                <pic:nvPicPr>
                  <pic:cNvPr id="0" name="chart-pie-market-share.png"/>
                  <pic:cNvPicPr/>
                </pic:nvPicPr>
                <pic:blipFill>
                  <a:blip r:embed="rId35"/>
                  <a:stretch>
                    <a:fillRect/>
                  </a:stretch>
                </pic:blipFill>
                <pic:spPr>
                  <a:xfrm>
                    <a:off x="0" y="0"/>
                    <a:ext cx="5760720" cy="3190553"/>
                  </a:xfrm>
                  <a:prstGeom prst="rect"/>
                </pic:spPr>
              </pic:pic>
            </a:graphicData>
          </a:graphic>
        </wp:inline>
      </w:drawing>
    </w:p>
    <w:p>
      <w:r>
        <w:t xml:space="preserve">图X+2：各品牌狗粮斤价对比（元/斤）</w:t>
      </w:r>
    </w:p>
    <w:p>
      <w:drawing>
        <wp:inline xmlns:a="http://schemas.openxmlformats.org/drawingml/2006/main" xmlns:pic="http://schemas.openxmlformats.org/drawingml/2006/picture">
          <wp:extent cx="5760720" cy="3190553"/>
          <wp:docPr id="1" name="Picture 1"/>
          <wp:cNvGraphicFramePr>
            <a:graphicFrameLocks noChangeAspect="1"/>
          </wp:cNvGraphicFramePr>
          <a:graphic>
            <a:graphicData uri="http://schemas.openxmlformats.org/drawingml/2006/picture">
              <pic:pic>
                <pic:nvPicPr>
                  <pic:cNvPr id="0" name="chart-pie-market-share.png"/>
                  <pic:cNvPicPr/>
                </pic:nvPicPr>
                <pic:blipFill>
                  <a:blip r:embed="rId34"/>
                  <a:stretch>
                    <a:fillRect/>
                  </a:stretch>
                </pic:blipFill>
                <pic:spPr>
                  <a:xfrm>
                    <a:off x="0" y="0"/>
                    <a:ext cx="5760720" cy="3190553"/>
                  </a:xfrm>
                  <a:prstGeom prst="rect"/>
                </pic:spPr>
              </pic:pic>
            </a:graphicData>
          </a:graphic>
        </wp:inline>
      </w:drawing>
    </w:p>
    <w:p>
      <w:r>
        <w:t xml:space="preserve">图X+1：京东头部品牌爆款销量对比（已售万+）</w:t>
      </w:r>
    </w:p>
    <w:p>
      <w:drawing>
        <wp:inline xmlns:a="http://schemas.openxmlformats.org/drawingml/2006/main" xmlns:pic="http://schemas.openxmlformats.org/drawingml/2006/picture">
          <wp:extent cx="5760720" cy="3190553"/>
          <wp:docPr id="1" name="Picture 1"/>
          <wp:cNvGraphicFramePr>
            <a:graphicFrameLocks noChangeAspect="1"/>
          </wp:cNvGraphicFramePr>
          <a:graphic>
            <a:graphicData uri="http://schemas.openxmlformats.org/drawingml/2006/picture">
              <pic:pic>
                <pic:nvPicPr>
                  <pic:cNvPr id="0" name="chart-pie-market-share.png"/>
                  <pic:cNvPicPr/>
                </pic:nvPicPr>
                <pic:blipFill>
                  <a:blip r:embed="rId33"/>
                  <a:stretch>
                    <a:fillRect/>
                  </a:stretch>
                </pic:blipFill>
                <pic:spPr>
                  <a:xfrm>
                    <a:off x="0" y="0"/>
                    <a:ext cx="5760720" cy="3190553"/>
                  </a:xfrm>
                  <a:prstGeom prst="rect"/>
                </pic:spPr>
              </pic:pic>
            </a:graphicData>
          </a:graphic>
        </wp:inline>
      </w:drawing>
    </w:p>
    <w:p>
      <w:r>
        <w:t xml:space="preserve">图X：天猫各品牌爆款销量对比（万人付款）</w:t>
      </w:r>
    </w:p>
    <w:p>
      <w:drawing>
        <wp:inline xmlns:a="http://schemas.openxmlformats.org/drawingml/2006/main" xmlns:pic="http://schemas.openxmlformats.org/drawingml/2006/picture">
          <wp:extent cx="5760720" cy="3190553"/>
          <wp:docPr id="1" name="Picture 1"/>
          <wp:cNvGraphicFramePr>
            <a:graphicFrameLocks noChangeAspect="1"/>
          </wp:cNvGraphicFramePr>
          <a:graphic>
            <a:graphicData uri="http://schemas.openxmlformats.org/drawingml/2006/picture">
              <pic:pic>
                <pic:nvPicPr>
                  <pic:cNvPr id="0" name="chart-pie-market-share.png"/>
                  <pic:cNvPicPr/>
                </pic:nvPicPr>
                <pic:blipFill>
                  <a:blip r:embed="rId32"/>
                  <a:stretch>
                    <a:fillRect/>
                  </a:stretch>
                </pic:blipFill>
                <pic:spPr>
                  <a:xfrm>
                    <a:off x="0" y="0"/>
                    <a:ext cx="5760720" cy="3190553"/>
                  </a:xfrm>
                  <a:prstGeom prst="rect"/>
                </pic:spPr>
              </pic:pic>
            </a:graphicData>
          </a:graphic>
        </wp:inline>
      </w:drawing>
    </w:p>
    <w:p>
      <w:pPr>
        <w:pStyle w:val="Heading2"/>
      </w:pPr>
      <w:r>
        <w:t xml:space="preserve">3.6  四种竞争模式与比乐的位置</w:t>
      </w:r>
    </w:p>
    <w:p>
      <w:pPr/>
      <w:r>
        <w:t xml:space="preserve">前十品牌的成功可归纳为四种可复制的竞争模式：系统飞轮者（麦富迪，品牌到利润到更强品牌的闭环）、渠道壁垒者（皇家，兽医处方渠道加78%复购率）、品类创新者（蓝氏和鲜朗，品类等于品牌的认知锁定）、全球规模者（雀巢和玛氏，500加科学家加全球研发网络）。</w:t>
      </w:r>
    </w:p>
    <w:p>
      <w:pPr/>
      <w:r>
        <w:t xml:space="preserve">根本性问题在于，福贝和比乐有顶级制造能力、扎实品质体系、完整的研发框架，但缺少任何一种清晰的竞争模式。它既不是品类创新者，分阶营养没有品类穿透力；也不是渠道壁垒者，没有兽医处方渠道；飞轮在逆向转动，品牌下滑导致砍研发，砍研发导致品牌更弱；又没有全球规模优势。其核心竞争资产制造、品控、分阶营养没有被翻译成任何一种在市场上有效运行的竞争逻辑。</w:t>
      </w:r>
    </w:p>
    <w:p>
      <w:pPr>
        <w:pStyle w:val="Heading1"/>
      </w:pPr>
      <w:r>
        <w:rPr>
          <w:color w:val="1A2744"/>
        </w:rPr>
        <w:t>四、本品五维深度分析：福贝集团 + 比乐品牌</w:t>
      </w:r>
    </w:p>
    <w:p>
      <w:r>
        <w:rPr>
          <w:color w:val="1A1A17"/>
          <w:sz w:val="21"/>
        </w:rPr>
        <w:t>本章采用集团/品牌分级，对福贝集团和比乐品牌分别进行五维深度扫描。集团层级侧重财务基本面，品牌层级侧重市场渠道（仅生意渠道）、品牌力（含营销媒介）、产品和人群。所有财务数据均以图表呈现。</w:t>
      </w:r>
    </w:p>
    <w:p>
      <w:pPr>
        <w:pStyle w:val="Heading2"/>
      </w:pPr>
      <w:r>
        <w:rPr>
          <w:color w:val="1A2744"/>
        </w:rPr>
        <w:t>4.1  市场/渠道——生意渠道扫描</w:t>
      </w:r>
    </w:p>
    <w:p>
      <w:pPr>
        <w:ind w:left="567"/>
        <w:pBdr>
          <w:left w:val="single" w:sz="12" w:space="6" w:color="4A9B7C"/>
        </w:pBdr>
      </w:pPr>
      <w:r>
        <w:rPr>
          <w:color w:val="444444"/>
          <w:sz w:val="20"/>
        </w:rPr>
        <w:t>本节中的渠道仅指生意渠道（消费者购买产品的场所），营销媒介渠道（广告投放/内容传播场所）统一归入 4.2 品牌力 部分分析。</w:t>
      </w:r>
    </w:p>
    <w:p>
      <w:pPr>
        <w:pStyle w:val="Heading3"/>
      </w:pPr>
      <w:r>
        <w:rPr>
          <w:color w:val="1A2744"/>
        </w:rPr>
        <w:t>集团层级：五大战略矛盾</w:t>
      </w:r>
    </w:p>
    <w:p>
      <w:pPr>
        <w:jc w:val="center"/>
      </w:pPr>
      <w:r>
        <w:drawing>
          <wp:inline xmlns:a="http://schemas.openxmlformats.org/drawingml/2006/main" xmlns:pic="http://schemas.openxmlformats.org/drawingml/2006/picture">
            <wp:extent cx="5760720" cy="3190553"/>
            <wp:docPr id="12" name="Picture 12"/>
            <wp:cNvGraphicFramePr>
              <a:graphicFrameLocks noChangeAspect="1"/>
            </wp:cNvGraphicFramePr>
            <a:graphic>
              <a:graphicData uri="http://schemas.openxmlformats.org/drawingml/2006/picture">
                <pic:pic>
                  <pic:nvPicPr>
                    <pic:cNvPr id="0" name="chart-bar-revenue-trend.png"/>
                    <pic:cNvPicPr/>
                  </pic:nvPicPr>
                  <pic:blipFill>
                    <a:blip r:embed="rId20"/>
                    <a:stretch>
                      <a:fillRect/>
                    </a:stretch>
                  </pic:blipFill>
                  <pic:spPr>
                    <a:xfrm>
                      <a:off x="0" y="0"/>
                      <a:ext cx="5760720" cy="3190553"/>
                    </a:xfrm>
                    <a:prstGeom prst="rect"/>
                  </pic:spPr>
                </pic:pic>
              </a:graphicData>
            </a:graphic>
          </wp:inline>
        </w:drawing>
      </w:r>
    </w:p>
    <w:p>
      <w:pPr>
        <w:jc w:val="center"/>
      </w:pPr>
      <w:r>
        <w:rPr>
          <w:i/>
          <w:color w:val="999999"/>
          <w:sz w:val="16"/>
        </w:rPr>
        <w:t>图12：福贝ODM vs OBM收入趋势（2023-2025）| 来源：招股书</w:t>
      </w:r>
    </w:p>
    <w:p/>
    <w:p>
      <w:pPr>
        <w:jc w:val="center"/>
      </w:pPr>
      <w:r>
        <w:drawing>
          <wp:inline xmlns:a="http://schemas.openxmlformats.org/drawingml/2006/main" xmlns:pic="http://schemas.openxmlformats.org/drawingml/2006/picture">
            <wp:extent cx="5760720" cy="3190553"/>
            <wp:docPr id="13" name="Picture 13"/>
            <wp:cNvGraphicFramePr>
              <a:graphicFrameLocks noChangeAspect="1"/>
            </wp:cNvGraphicFramePr>
            <a:graphic>
              <a:graphicData uri="http://schemas.openxmlformats.org/drawingml/2006/picture">
                <pic:pic>
                  <pic:nvPicPr>
                    <pic:cNvPr id="0" name="fubei-rev-structure.png"/>
                    <pic:cNvPicPr/>
                  </pic:nvPicPr>
                  <pic:blipFill>
                    <a:blip r:embed="rId21"/>
                    <a:stretch>
                      <a:fillRect/>
                    </a:stretch>
                  </pic:blipFill>
                  <pic:spPr>
                    <a:xfrm>
                      <a:off x="0" y="0"/>
                      <a:ext cx="5760720" cy="3190553"/>
                    </a:xfrm>
                    <a:prstGeom prst="rect"/>
                  </pic:spPr>
                </pic:pic>
              </a:graphicData>
            </a:graphic>
          </wp:inline>
        </w:drawing>
      </w:r>
    </w:p>
    <w:p>
      <w:pPr>
        <w:jc w:val="center"/>
      </w:pPr>
      <w:r>
        <w:rPr>
          <w:i/>
          <w:color w:val="999999"/>
          <w:sz w:val="16"/>
        </w:rPr>
        <w:t>图13：福贝收入结构（2025）| 来源：招股书</w:t>
      </w:r>
    </w:p>
    <w:p/>
    <w:p>
      <w:r>
        <w:rPr>
          <w:b/>
          <w:color w:val="1A1A17"/>
          <w:sz w:val="21"/>
        </w:rPr>
        <w:t>▎ 矛盾一：ODM增长停滞 vs 品牌持续收缩。</w:t>
      </w:r>
      <w:r>
        <w:rPr>
          <w:color w:val="1A1A17"/>
          <w:sz w:val="21"/>
        </w:rPr>
        <w:t>ODM业务三年仅增1700万元（6.13→6.30亿），增长接近停滞，但OBM品牌业务减少8200万元（4.32→3.50亿）。ODM占比从58.6%升至61.7%，OBM从41.3%降至34.3%。公司正在从一个制造+品牌双轮驱动的结构，滑向一个以代工为主的制造企业。前五大客户贡献36.6%收入，第一大客户单家占比17.8%，大客户依赖风险显著。</w:t>
      </w:r>
    </w:p>
    <w:p>
      <w:r>
        <w:rPr>
          <w:b/>
          <w:color w:val="1A1A17"/>
          <w:sz w:val="21"/>
        </w:rPr>
        <w:t>▎ 矛盾二：盈利能力最强的业务在萎缩。</w:t>
      </w:r>
      <w:r>
        <w:rPr>
          <w:color w:val="1A1A17"/>
          <w:sz w:val="21"/>
        </w:rPr>
        <w:t>OBM品牌业务仅贡献34.3%的收入，但由于49%的高毛利率，2025年贡献了约1.72亿元毛利——超过ODM业务的1.45亿元。公司53%的毛利来自只占34%收入的品牌业务，而这个最赚钱的业务板块却在持续收缩。这是典型的砍掉现金牛喂瘦狗——每减少一元品牌收入，损失的毛利是代工收入的2.1倍。</w:t>
      </w:r>
    </w:p>
    <w:p>
      <w:r>
        <w:rPr>
          <w:b/>
          <w:color w:val="1A1A17"/>
          <w:sz w:val="21"/>
        </w:rPr>
        <w:t>▎ 矛盾三：研发叙事与投入削减的撕裂。</w:t>
      </w:r>
      <w:r>
        <w:rPr>
          <w:color w:val="1A1A17"/>
          <w:sz w:val="21"/>
        </w:rPr>
        <w:t>招股书反复强调研发驱动战略，但财务数据显示，研发费用从2023年2406万元骤降至2025年1151万元，两年降幅52%，研发费率仅1.13%。而同期营销费用却从1.05亿持续增至1.33亿。公司在用嘴说研发，用手砍研发——资本市场能区分把研发当做品牌故事和把研发当做核心能力。</w:t>
      </w:r>
    </w:p>
    <w:p>
      <w:r>
        <w:rPr>
          <w:b/>
          <w:color w:val="1A1A17"/>
          <w:sz w:val="21"/>
        </w:rPr>
        <w:t>▎ 矛盾四：产能大跃进 vs 利用率断崖。</w:t>
      </w:r>
      <w:r>
        <w:rPr>
          <w:color w:val="1A1A17"/>
          <w:sz w:val="21"/>
        </w:rPr>
        <w:t>总设计产能从8.23万吨扩张至13.33万吨（+62%），但实际产量仅从5.59万吨增至6.93万吨，产能利用率从67.9%降至52.0%。2024年投产的三大新基地利用率分别仅20.1%、28.9%和63.8%。但IPO募资5.68亿元中，2.43亿元仍计划用于宣城扩建。这是在用投资人的钱为已经过剩的产能继续买单。</w:t>
      </w:r>
    </w:p>
    <w:p>
      <w:r>
        <w:rPr>
          <w:b/>
          <w:color w:val="1A1A17"/>
          <w:sz w:val="21"/>
        </w:rPr>
        <w:t>▎ 矛盾五：单品牌赌注。</w:t>
      </w:r>
      <w:r>
        <w:rPr>
          <w:color w:val="1A1A17"/>
          <w:sz w:val="21"/>
        </w:rPr>
        <w:t>比乐贡献OBM收入的95%，是整个品牌板块的代名词。一个营收3.33亿且连续三年下滑的品牌，逆转难度极大。福贝旗下还有爱倍、麦洛斯、品卓、安纳吉，除了分散资源没有产生任何边际效益。</w:t>
      </w:r>
    </w:p>
    <w:p>
      <w:pPr>
        <w:pStyle w:val="Heading3"/>
      </w:pPr>
      <w:r>
        <w:rPr>
          <w:color w:val="1A2744"/>
        </w:rPr>
        <w:t>集团层级：利润骤降归因</w:t>
      </w:r>
    </w:p>
    <w:p>
      <w:pPr>
        <w:jc w:val="center"/>
      </w:pPr>
      <w:r>
        <w:drawing>
          <wp:inline xmlns:a="http://schemas.openxmlformats.org/drawingml/2006/main" xmlns:pic="http://schemas.openxmlformats.org/drawingml/2006/picture">
            <wp:extent cx="5760720" cy="3190553"/>
            <wp:docPr id="14" name="Picture 14"/>
            <wp:cNvGraphicFramePr>
              <a:graphicFrameLocks noChangeAspect="1"/>
            </wp:cNvGraphicFramePr>
            <a:graphic>
              <a:graphicData uri="http://schemas.openxmlformats.org/drawingml/2006/picture">
                <pic:pic>
                  <pic:nvPicPr>
                    <pic:cNvPr id="0" name="fubei-profit-trend.png"/>
                    <pic:cNvPicPr/>
                  </pic:nvPicPr>
                  <pic:blipFill>
                    <a:blip r:embed="rId22"/>
                    <a:stretch>
                      <a:fillRect/>
                    </a:stretch>
                  </pic:blipFill>
                  <pic:spPr>
                    <a:xfrm>
                      <a:off x="0" y="0"/>
                      <a:ext cx="5760720" cy="3190553"/>
                    </a:xfrm>
                    <a:prstGeom prst="rect"/>
                  </pic:spPr>
                </pic:pic>
              </a:graphicData>
            </a:graphic>
          </wp:inline>
        </w:drawing>
      </w:r>
    </w:p>
    <w:p>
      <w:pPr>
        <w:jc w:val="center"/>
      </w:pPr>
      <w:r>
        <w:rPr>
          <w:i/>
          <w:color w:val="999999"/>
          <w:sz w:val="16"/>
        </w:rPr>
        <w:t>图14：福贝净利润趋势（2023-2025）| 来源：招股书</w:t>
      </w:r>
    </w:p>
    <w:p/>
    <w:p>
      <w:pPr>
        <w:jc w:val="center"/>
      </w:pPr>
      <w:r>
        <w:drawing>
          <wp:inline xmlns:a="http://schemas.openxmlformats.org/drawingml/2006/main" xmlns:pic="http://schemas.openxmlformats.org/drawingml/2006/picture">
            <wp:extent cx="5760720" cy="3190553"/>
            <wp:docPr id="15" name="Picture 15"/>
            <wp:cNvGraphicFramePr>
              <a:graphicFrameLocks noChangeAspect="1"/>
            </wp:cNvGraphicFramePr>
            <a:graphic>
              <a:graphicData uri="http://schemas.openxmlformats.org/drawingml/2006/picture">
                <pic:pic>
                  <pic:nvPicPr>
                    <pic:cNvPr id="0" name="fubei-margin-trend.png"/>
                    <pic:cNvPicPr/>
                  </pic:nvPicPr>
                  <pic:blipFill>
                    <a:blip r:embed="rId23"/>
                    <a:stretch>
                      <a:fillRect/>
                    </a:stretch>
                  </pic:blipFill>
                  <pic:spPr>
                    <a:xfrm>
                      <a:off x="0" y="0"/>
                      <a:ext cx="5760720" cy="3190553"/>
                    </a:xfrm>
                    <a:prstGeom prst="rect"/>
                  </pic:spPr>
                </pic:pic>
              </a:graphicData>
            </a:graphic>
          </wp:inline>
        </w:drawing>
      </w:r>
    </w:p>
    <w:p>
      <w:pPr>
        <w:jc w:val="center"/>
      </w:pPr>
      <w:r>
        <w:rPr>
          <w:i/>
          <w:color w:val="999999"/>
          <w:sz w:val="16"/>
        </w:rPr>
        <w:t>图15：福贝综合毛利率趋势（2023-2025）| 来源：招股书</w:t>
      </w:r>
    </w:p>
    <w:p/>
    <w:p>
      <w:pPr>
        <w:jc w:val="center"/>
      </w:pPr>
      <w:r>
        <w:drawing>
          <wp:inline xmlns:a="http://schemas.openxmlformats.org/drawingml/2006/main" xmlns:pic="http://schemas.openxmlformats.org/drawingml/2006/picture">
            <wp:extent cx="5760720" cy="3190553"/>
            <wp:docPr id="16" name="Picture 16"/>
            <wp:cNvGraphicFramePr>
              <a:graphicFrameLocks noChangeAspect="1"/>
            </wp:cNvGraphicFramePr>
            <a:graphic>
              <a:graphicData uri="http://schemas.openxmlformats.org/drawingml/2006/picture">
                <pic:pic>
                  <pic:nvPicPr>
                    <pic:cNvPr id="0" name="fubei-profit-drivers.png"/>
                    <pic:cNvPicPr/>
                  </pic:nvPicPr>
                  <pic:blipFill>
                    <a:blip r:embed="rId24"/>
                    <a:stretch>
                      <a:fillRect/>
                    </a:stretch>
                  </pic:blipFill>
                  <pic:spPr>
                    <a:xfrm>
                      <a:off x="0" y="0"/>
                      <a:ext cx="5760720" cy="3190553"/>
                    </a:xfrm>
                    <a:prstGeom prst="rect"/>
                  </pic:spPr>
                </pic:pic>
              </a:graphicData>
            </a:graphic>
          </wp:inline>
        </w:drawing>
      </w:r>
    </w:p>
    <w:p>
      <w:pPr>
        <w:jc w:val="center"/>
      </w:pPr>
      <w:r>
        <w:rPr>
          <w:i/>
          <w:color w:val="999999"/>
          <w:sz w:val="16"/>
        </w:rPr>
        <w:t>图16：福贝2025年利润骤降归因分析 | 来源：招股书</w:t>
      </w:r>
    </w:p>
    <w:p/>
    <w:p>
      <w:pPr>
        <w:jc w:val="center"/>
      </w:pPr>
      <w:r>
        <w:drawing>
          <wp:inline xmlns:a="http://schemas.openxmlformats.org/drawingml/2006/main" xmlns:pic="http://schemas.openxmlformats.org/drawingml/2006/picture">
            <wp:extent cx="5760720" cy="3190553"/>
            <wp:docPr id="17" name="Picture 17"/>
            <wp:cNvGraphicFramePr>
              <a:graphicFrameLocks noChangeAspect="1"/>
            </wp:cNvGraphicFramePr>
            <a:graphic>
              <a:graphicData uri="http://schemas.openxmlformats.org/drawingml/2006/picture">
                <pic:pic>
                  <pic:nvPicPr>
                    <pic:cNvPr id="0" name="chart-fubei-waterfall.png"/>
                    <pic:cNvPicPr/>
                  </pic:nvPicPr>
                  <pic:blipFill>
                    <a:blip r:embed="rId25"/>
                    <a:stretch>
                      <a:fillRect/>
                    </a:stretch>
                  </pic:blipFill>
                  <pic:spPr>
                    <a:xfrm>
                      <a:off x="0" y="0"/>
                      <a:ext cx="5760720" cy="3190553"/>
                    </a:xfrm>
                    <a:prstGeom prst="rect"/>
                  </pic:spPr>
                </pic:pic>
              </a:graphicData>
            </a:graphic>
          </wp:inline>
        </w:drawing>
      </w:r>
    </w:p>
    <w:p>
      <w:pPr>
        <w:jc w:val="center"/>
      </w:pPr>
      <w:r>
        <w:rPr>
          <w:i/>
          <w:color w:val="999999"/>
          <w:sz w:val="16"/>
        </w:rPr>
        <w:t>图17：福贝利润变化瀑布图（2024→2025）| 来源：招股书</w:t>
      </w:r>
    </w:p>
    <w:p/>
    <w:p>
      <w:r>
        <w:rPr>
          <w:b/>
          <w:color w:val="1A1A17"/>
          <w:sz w:val="21"/>
        </w:rPr>
        <w:t>▎ 因素一：ODM毛利率崩塌（-7.3pp）——贡献降幅约70%。</w:t>
      </w:r>
      <w:r>
        <w:rPr>
          <w:color w:val="1A1A17"/>
          <w:sz w:val="21"/>
        </w:rPr>
        <w:t>ODM业务毛利率从30.4%降至23.1%（-7.3pp），是利润下降的首要原因。以2025年ODM收入6.30亿元计，毛利率下降7.3个点意味着毛利损失约0.46亿元。核心驱动是产能利用率暴跌——新基地固定成本（折旧、人工、能源）在产能利用率20%—29%的背景下被大幅摊薄到每一吨产出成本中，直接压垮了ODM毛利率。</w:t>
      </w:r>
    </w:p>
    <w:p>
      <w:r>
        <w:rPr>
          <w:b/>
          <w:color w:val="1A1A17"/>
          <w:sz w:val="21"/>
        </w:rPr>
        <w:t>▎ 因素二：OBM高毛利产品收入下降——贡献降幅约44%。</w:t>
      </w:r>
      <w:r>
        <w:rPr>
          <w:color w:val="1A1A17"/>
          <w:sz w:val="21"/>
        </w:rPr>
        <w:t>OBM品牌业务毛利率约49%，收入从4.32亿降至3.50亿（-19%），其中比乐品牌从4.09亿降至3.33亿（-18.6%）。假设OBM毛利率保持约49%不变，收入下降0.82亿元带来的毛利损失约0.29亿元。但更关键的是结构性恶化：最赚钱的业务在萎缩，OBM收入占比从41.3%降至34.3%。</w:t>
      </w:r>
    </w:p>
    <w:p>
      <w:r>
        <w:rPr>
          <w:b/>
          <w:color w:val="1A1A17"/>
          <w:sz w:val="21"/>
        </w:rPr>
        <w:t>▎ 因素三：营销费增加但品牌收入下降→营销ROI恶化。</w:t>
      </w:r>
      <w:r>
        <w:rPr>
          <w:color w:val="1A1A17"/>
          <w:sz w:val="21"/>
        </w:rPr>
        <w:t>营销费用从约1.05亿持续增至1.33亿（+26.7%），同期比乐品牌收入从4.09亿降至3.33亿（-18.6%）。每投入一元营销费，品牌收入不增反降——揭示了比乐品牌建设的核心问题：不是预算不足（1.33亿营销费在中国宠粮品牌中属于中上水平），而是品牌叙事和转化逻辑存在根本性缺陷。</w:t>
      </w:r>
    </w:p>
    <w:p>
      <w:r>
        <w:rPr>
          <w:b/>
          <w:color w:val="C53030"/>
          <w:sz w:val="21"/>
        </w:rPr>
        <w:t>▎ 归因结论：</w:t>
      </w:r>
      <w:r>
        <w:rPr>
          <w:color w:val="C53030"/>
          <w:sz w:val="21"/>
        </w:rPr>
        <w:t>福贝2025年利润骤降40.1%由三大因素叠加驱动——ODM毛利率崩塌（最大单一因素）、OBM品牌收入下降（加剧结构恶化）、营销费增加但品牌收入不增反降（费用效率亟待改善）。根本原因是产能扩张过快（+62%）但利用率持续走低（52%），新基地单位固定成本飙升直接压垮了ODM毛利率。</w:t>
      </w:r>
    </w:p>
    <w:p>
      <w:pPr>
        <w:pStyle w:val="Heading3"/>
      </w:pPr>
      <w:r>
        <w:rPr>
          <w:color w:val="1A2744"/>
        </w:rPr>
        <w:t>集团层级：现金流与财务健康</w:t>
      </w:r>
    </w:p>
    <w:p>
      <w:pPr>
        <w:jc w:val="center"/>
      </w:pPr>
      <w:r>
        <w:drawing>
          <wp:inline xmlns:a="http://schemas.openxmlformats.org/drawingml/2006/main" xmlns:pic="http://schemas.openxmlformats.org/drawingml/2006/picture">
            <wp:extent cx="5760720" cy="3190553"/>
            <wp:docPr id="18" name="Picture 18"/>
            <wp:cNvGraphicFramePr>
              <a:graphicFrameLocks noChangeAspect="1"/>
            </wp:cNvGraphicFramePr>
            <a:graphic>
              <a:graphicData uri="http://schemas.openxmlformats.org/drawingml/2006/picture">
                <pic:pic>
                  <pic:nvPicPr>
                    <pic:cNvPr id="0" name="fubei-cashflow-trend.png"/>
                    <pic:cNvPicPr/>
                  </pic:nvPicPr>
                  <pic:blipFill>
                    <a:blip r:embed="rId26"/>
                    <a:stretch>
                      <a:fillRect/>
                    </a:stretch>
                  </pic:blipFill>
                  <pic:spPr>
                    <a:xfrm>
                      <a:off x="0" y="0"/>
                      <a:ext cx="5760720" cy="3190553"/>
                    </a:xfrm>
                    <a:prstGeom prst="rect"/>
                  </pic:spPr>
                </pic:pic>
              </a:graphicData>
            </a:graphic>
          </wp:inline>
        </w:drawing>
      </w:r>
    </w:p>
    <w:p>
      <w:pPr>
        <w:jc w:val="center"/>
      </w:pPr>
      <w:r>
        <w:rPr>
          <w:i/>
          <w:color w:val="999999"/>
          <w:sz w:val="16"/>
        </w:rPr>
        <w:t>图18：福贝现金流趋势（2023-2025）| 来源：招股书</w:t>
      </w:r>
    </w:p>
    <w:p/>
    <w:p>
      <w:r>
        <w:rPr>
          <w:color w:val="1A1A17"/>
          <w:sz w:val="21"/>
        </w:rPr>
        <w:t>福贝的经营现金流净额从2024年的1.87亿元骤降至2025年的0.83亿元（降幅55.6%），账面货币资金从4.95亿降至3.09亿元（降幅37.6%）。净利润下滑叠加现金流恶化——利润下降不只是一次性的账面问题，而是实实在在的现金创造能力在衰退。账上3.09亿资金看似尚可，但考虑到1.33亿年营销费+产能扩张的持续资本开支，如果不通过IPO融资补充，现金流缓冲空间正在快速收窄。</w:t>
      </w:r>
    </w:p>
    <w:p>
      <w:pPr>
        <w:pStyle w:val="Heading3"/>
      </w:pPr>
      <w:r>
        <w:rPr>
          <w:color w:val="1A2744"/>
        </w:rPr>
        <w:t>集团层级：IPO募资分析</w:t>
      </w:r>
    </w:p>
    <w:p>
      <w:pPr>
        <w:jc w:val="center"/>
      </w:pPr>
      <w:r>
        <w:drawing>
          <wp:inline xmlns:a="http://schemas.openxmlformats.org/drawingml/2006/main" xmlns:pic="http://schemas.openxmlformats.org/drawingml/2006/picture">
            <wp:extent cx="5760720" cy="3190553"/>
            <wp:docPr id="19" name="Picture 19"/>
            <wp:cNvGraphicFramePr>
              <a:graphicFrameLocks noChangeAspect="1"/>
            </wp:cNvGraphicFramePr>
            <a:graphic>
              <a:graphicData uri="http://schemas.openxmlformats.org/drawingml/2006/picture">
                <pic:pic>
                  <pic:nvPicPr>
                    <pic:cNvPr id="0" name="fubei-ipo-allocation.png"/>
                    <pic:cNvPicPr/>
                  </pic:nvPicPr>
                  <pic:blipFill>
                    <a:blip r:embed="rId27"/>
                    <a:stretch>
                      <a:fillRect/>
                    </a:stretch>
                  </pic:blipFill>
                  <pic:spPr>
                    <a:xfrm>
                      <a:off x="0" y="0"/>
                      <a:ext cx="5760720" cy="3190553"/>
                    </a:xfrm>
                    <a:prstGeom prst="rect"/>
                  </pic:spPr>
                </pic:pic>
              </a:graphicData>
            </a:graphic>
          </wp:inline>
        </w:drawing>
      </w:r>
    </w:p>
    <w:p>
      <w:pPr>
        <w:jc w:val="center"/>
      </w:pPr>
      <w:r>
        <w:rPr>
          <w:i/>
          <w:color w:val="999999"/>
          <w:sz w:val="16"/>
        </w:rPr>
        <w:t>图19：福贝IPO募资用途分配 | 来源：招股书</w:t>
      </w:r>
    </w:p>
    <w:p/>
    <w:p>
      <w:pPr>
        <w:jc w:val="center"/>
      </w:pPr>
      <w:r>
        <w:drawing>
          <wp:inline xmlns:a="http://schemas.openxmlformats.org/drawingml/2006/main" xmlns:pic="http://schemas.openxmlformats.org/drawingml/2006/picture">
            <wp:extent cx="5760720" cy="3190553"/>
            <wp:docPr id="20" name="Picture 20"/>
            <wp:cNvGraphicFramePr>
              <a:graphicFrameLocks noChangeAspect="1"/>
            </wp:cNvGraphicFramePr>
            <a:graphic>
              <a:graphicData uri="http://schemas.openxmlformats.org/drawingml/2006/picture">
                <pic:pic>
                  <pic:nvPicPr>
                    <pic:cNvPr id="0" name="fubei-capacity-base.png"/>
                    <pic:cNvPicPr/>
                  </pic:nvPicPr>
                  <pic:blipFill>
                    <a:blip r:embed="rId28"/>
                    <a:stretch>
                      <a:fillRect/>
                    </a:stretch>
                  </pic:blipFill>
                  <pic:spPr>
                    <a:xfrm>
                      <a:off x="0" y="0"/>
                      <a:ext cx="5760720" cy="3190553"/>
                    </a:xfrm>
                    <a:prstGeom prst="rect"/>
                  </pic:spPr>
                </pic:pic>
              </a:graphicData>
            </a:graphic>
          </wp:inline>
        </w:drawing>
      </w:r>
    </w:p>
    <w:p>
      <w:pPr>
        <w:jc w:val="center"/>
      </w:pPr>
      <w:r>
        <w:rPr>
          <w:i/>
          <w:color w:val="999999"/>
          <w:sz w:val="16"/>
        </w:rPr>
        <w:t>图20：福贝各基地产能布局 | 来源：招股书</w:t>
      </w:r>
    </w:p>
    <w:p/>
    <w:p>
      <w:pPr>
        <w:jc w:val="center"/>
      </w:pPr>
      <w:r>
        <w:drawing>
          <wp:inline xmlns:a="http://schemas.openxmlformats.org/drawingml/2006/main" xmlns:pic="http://schemas.openxmlformats.org/drawingml/2006/picture">
            <wp:extent cx="5760720" cy="3190553"/>
            <wp:docPr id="21" name="Picture 21"/>
            <wp:cNvGraphicFramePr>
              <a:graphicFrameLocks noChangeAspect="1"/>
            </wp:cNvGraphicFramePr>
            <a:graphic>
              <a:graphicData uri="http://schemas.openxmlformats.org/drawingml/2006/picture">
                <pic:pic>
                  <pic:nvPicPr>
                    <pic:cNvPr id="0" name="fubei-rd-vs-marketing.png"/>
                    <pic:cNvPicPr/>
                  </pic:nvPicPr>
                  <pic:blipFill>
                    <a:blip r:embed="rId29"/>
                    <a:stretch>
                      <a:fillRect/>
                    </a:stretch>
                  </pic:blipFill>
                  <pic:spPr>
                    <a:xfrm>
                      <a:off x="0" y="0"/>
                      <a:ext cx="5760720" cy="3190553"/>
                    </a:xfrm>
                    <a:prstGeom prst="rect"/>
                  </pic:spPr>
                </pic:pic>
              </a:graphicData>
            </a:graphic>
          </wp:inline>
        </w:drawing>
      </w:r>
    </w:p>
    <w:p>
      <w:pPr>
        <w:jc w:val="center"/>
      </w:pPr>
      <w:r>
        <w:rPr>
          <w:i/>
          <w:color w:val="999999"/>
          <w:sz w:val="16"/>
        </w:rPr>
        <w:t>图21：福贝研发 vs 营销费用趋势 | 来源：招股书</w:t>
      </w:r>
    </w:p>
    <w:p/>
    <w:p>
      <w:r>
        <w:rPr>
          <w:color w:val="1A1A17"/>
          <w:sz w:val="21"/>
        </w:rPr>
        <w:t>2026年6月福贝向港交所递交主板上市申请，国金证券（香港）担任独家保荐人。拟募资5.68亿元，分配如下——2.43亿元用于宣城福贝扩建项目（产能利用率仅52%背景下逆势扩产）、2.2亿元用于智能仓储配送中心、5441万元用于营销及管理信息化、5065万元用于研发中心建设。</w:t>
      </w:r>
    </w:p>
    <w:p>
      <w:r>
        <w:rPr>
          <w:color w:val="1A1A17"/>
          <w:sz w:val="21"/>
        </w:rPr>
        <w:t>资金分配暴露了一个尖锐矛盾：大额倾斜产线升级和仓储（合计4.63亿，占82%），而直接决定品牌竞争力和长期价值的研发和营销合计仅约1.05亿（占18%）。一个自称研发驱动的企业，IPO募资中只有9%投向研发——这个数字放在招股书里本身就是品牌叙事与资金配置的矛盾。</w:t>
      </w:r>
    </w:p>
    <w:p>
      <w:r>
        <w:rPr>
          <w:color w:val="1A1A17"/>
          <w:sz w:val="21"/>
        </w:rPr>
        <w:t>从资本市场视角看，福贝面临的核心问题是估值逻辑归属：是按制造企业定价（低毛利、高产能依赖、客户集中风险），还是按消费品牌定价（品牌溢价、用户复购、渠道控制力）？福贝过去三年OBM持续萎缩、ODM占比升至61.7%，在港股投资者眼里这是一个清晰的信号——这家公司越来越像一家制造企业。乖宝之所以获得高估值（市值一度突破200亿），正是因为市场认可了它从OEM到品牌驱动的成功转型——而福贝的招股书品牌故事与财务数据呈现的趋势方向相反。</w:t>
      </w:r>
    </w:p>
    <w:p>
      <w:pPr>
        <w:pStyle w:val="Heading3"/>
      </w:pPr>
      <w:r>
        <w:rPr>
          <w:color w:val="1A2744"/>
        </w:rPr>
        <w:t>集团层级：Scaling可能性评估</w:t>
      </w:r>
    </w:p>
    <w:p>
      <w:r>
        <w:rPr>
          <w:color w:val="1A1A17"/>
          <w:sz w:val="21"/>
        </w:rPr>
        <w:t>基于行业格局和福贝自身能力，四条增长路线：</w:t>
      </w:r>
    </w:p>
    <w:p>
      <w:r>
        <w:rPr>
          <w:b/>
          <w:color w:val="1A1A17"/>
          <w:sz w:val="21"/>
        </w:rPr>
        <w:t>▎ ODM路线（⭐⭐⭐中等）：</w:t>
      </w:r>
      <w:r>
        <w:rPr>
          <w:color w:val="1A1A17"/>
          <w:sz w:val="21"/>
        </w:rPr>
        <w:t>年产能超30万吨但利用率仅52%，现有产能即可支撑约两倍业务量增长。客户留存率90%+。但ODM毛利率已从30.4%降至23.1%且仍在下降，规模越大利润率越薄。在中国劳动力成本持续上升和品牌日趋重视自建产能的背景下，纯代工模式的长期价值在衰减。</w:t>
      </w:r>
    </w:p>
    <w:p>
      <w:r>
        <w:rPr>
          <w:b/>
          <w:color w:val="1A1A17"/>
          <w:sz w:val="21"/>
        </w:rPr>
        <w:t>▎ 品牌路线（⭐⭐⭐⭐高潜力高难度）：</w:t>
      </w:r>
      <w:r>
        <w:rPr>
          <w:color w:val="1A1A17"/>
          <w:sz w:val="21"/>
        </w:rPr>
        <w:t>OBM毛利率49%是ODM的2.1倍，品牌价值释放空间巨大。乖宝已用52亿营收和42%毛利率验证了这一路径。但比乐连续三年下滑，营销费增长但转化效率低。最大障碍不是预算（1.33亿营销费），而是组织层面品牌建设能力的系统性缺位。</w:t>
      </w:r>
    </w:p>
    <w:p>
      <w:r>
        <w:rPr>
          <w:b/>
          <w:color w:val="1A1A17"/>
          <w:sz w:val="21"/>
        </w:rPr>
        <w:t>▎ 上游整合（⭐⭐⭐⭐高）：</w:t>
      </w:r>
      <w:r>
        <w:rPr>
          <w:color w:val="1A1A17"/>
          <w:sz w:val="21"/>
        </w:rPr>
        <w:t>原材料占成本60%+，福贝已与福建圣农集团深度合作。向上游延伸建立核心原料基地可锁定供应稳定性。如果能把IPO募集资金的一部分用于上游战略性布局，这条路线可能成为区别于其他代工企业的独特壁垒。</w:t>
      </w:r>
    </w:p>
    <w:p>
      <w:r>
        <w:rPr>
          <w:b/>
          <w:color w:val="1A1A17"/>
          <w:sz w:val="21"/>
        </w:rPr>
        <w:t>▎ 渠道创新（⭐⭐⭐中等）：</w:t>
      </w:r>
      <w:r>
        <w:rPr>
          <w:color w:val="1A1A17"/>
          <w:sz w:val="21"/>
        </w:rPr>
        <w:t>线上渠道占67.6%且持续增长，但比乐表现不佳——2025年营销费增至1.33亿但品牌营收仍在下降。问题不在渠道覆盖而在内容质量和转化逻辑。内容叙事从B端语言切换为C端感受是根本性要求。</w:t>
      </w:r>
    </w:p>
    <w:p>
      <w:pPr>
        <w:pStyle w:val="Heading3"/>
      </w:pPr>
      <w:r>
        <w:rPr>
          <w:color w:val="1A2744"/>
        </w:rPr>
        <w:t>品牌层级：比乐生意渠道扫描</w:t>
      </w:r>
    </w:p>
    <w:p>
      <w:r>
        <w:rPr>
          <w:color w:val="1A1A17"/>
          <w:sz w:val="21"/>
        </w:rPr>
        <w:t>以下扫描比乐在线上线下生意渠道的覆盖情况，按先品牌后产品的结构分析。</w:t>
      </w:r>
    </w:p>
    <w:p>
      <w:pPr>
        <w:pStyle w:val="Heading3"/>
      </w:pPr>
      <w:r>
        <w:rPr>
          <w:color w:val="1A2744"/>
        </w:rPr>
        <w:t>线上生意渠道</w:t>
      </w:r>
    </w:p>
    <w:tbl>
      <w:tblPr>
        <w:tblStyle w:val="TableGrid"/>
        <w:tblW w:type="auto" w:w="0"/>
        <w:jc w:val="center"/>
        <w:tblLook w:firstColumn="1" w:firstRow="1" w:lastColumn="0" w:lastRow="0" w:noHBand="0" w:noVBand="1" w:val="04A0"/>
      </w:tblPr>
      <w:tblGrid>
        <w:gridCol w:w="2880"/>
        <w:gridCol w:w="2880"/>
        <w:gridCol w:w="2880"/>
      </w:tblGrid>
      <w:tr>
        <w:tc>
          <w:tcPr>
            <w:tcW w:type="dxa" w:w="1587"/>
            <w:shd w:val="clear" w:color="auto" w:fill="2C3E50"/>
          </w:tcPr>
          <w:p>
            <w:pPr>
              <w:jc w:val="center"/>
            </w:pPr>
            <w:r>
              <w:rPr>
                <w:b/>
                <w:color w:val="FFFFFF"/>
                <w:sz w:val="18"/>
              </w:rPr>
              <w:t>生意渠道</w:t>
            </w:r>
          </w:p>
        </w:tc>
        <w:tc>
          <w:tcPr>
            <w:tcW w:type="dxa" w:w="2551"/>
            <w:shd w:val="clear" w:color="auto" w:fill="2C3E50"/>
          </w:tcPr>
          <w:p>
            <w:pPr>
              <w:jc w:val="center"/>
            </w:pPr>
            <w:r>
              <w:rPr>
                <w:b/>
                <w:color w:val="FFFFFF"/>
                <w:sz w:val="18"/>
              </w:rPr>
              <w:t>比乐覆盖状态</w:t>
            </w:r>
          </w:p>
        </w:tc>
        <w:tc>
          <w:tcPr>
            <w:tcW w:type="dxa" w:w="4932"/>
            <w:shd w:val="clear" w:color="auto" w:fill="2C3E50"/>
          </w:tcPr>
          <w:p>
            <w:pPr>
              <w:jc w:val="center"/>
            </w:pPr>
            <w:r>
              <w:rPr>
                <w:b/>
                <w:color w:val="FFFFFF"/>
                <w:sz w:val="18"/>
              </w:rPr>
              <w:t>竞争力评估</w:t>
            </w:r>
          </w:p>
        </w:tc>
      </w:tr>
      <w:tr>
        <w:tc>
          <w:tcPr>
            <w:tcW w:type="dxa" w:w="1587"/>
            <w:shd w:val="clear" w:color="auto" w:fill="F2F6FA"/>
          </w:tcPr>
          <w:p>
            <w:r>
              <w:rPr>
                <w:sz w:val="18"/>
              </w:rPr>
              <w:t>天猫旗舰店</w:t>
            </w:r>
          </w:p>
        </w:tc>
        <w:tc>
          <w:tcPr>
            <w:tcW w:type="dxa" w:w="2551"/>
            <w:shd w:val="clear" w:color="auto" w:fill="F2F6FA"/>
          </w:tcPr>
          <w:p>
            <w:r>
              <w:rPr>
                <w:sz w:val="18"/>
              </w:rPr>
              <w:t>有店，非爆品驱动</w:t>
              <w:br/>
              <w:t>单品月销在品类TOP10边缘</w:t>
            </w:r>
          </w:p>
        </w:tc>
        <w:tc>
          <w:tcPr>
            <w:tcW w:type="dxa" w:w="4932"/>
            <w:shd w:val="clear" w:color="auto" w:fill="F2F6FA"/>
          </w:tcPr>
          <w:p>
            <w:r>
              <w:rPr>
                <w:sz w:val="18"/>
              </w:rPr>
              <w:t>有基础存在但缺少超级大单品带动店铺流量</w:t>
            </w:r>
          </w:p>
        </w:tc>
      </w:tr>
      <w:tr>
        <w:tc>
          <w:tcPr>
            <w:tcW w:type="dxa" w:w="1587"/>
          </w:tcPr>
          <w:p>
            <w:r>
              <w:rPr>
                <w:sz w:val="18"/>
              </w:rPr>
              <w:t>京东</w:t>
            </w:r>
          </w:p>
        </w:tc>
        <w:tc>
          <w:tcPr>
            <w:tcW w:type="dxa" w:w="2551"/>
          </w:tcPr>
          <w:p>
            <w:r>
              <w:rPr>
                <w:sz w:val="18"/>
              </w:rPr>
              <w:t>有店，SKU齐全</w:t>
              <w:br/>
              <w:t>评价数量中等</w:t>
            </w:r>
          </w:p>
        </w:tc>
        <w:tc>
          <w:tcPr>
            <w:tcW w:type="dxa" w:w="4932"/>
          </w:tcPr>
          <w:p>
            <w:r>
              <w:rPr>
                <w:sz w:val="18"/>
              </w:rPr>
              <w:t>京东用户决策偏理性，比乐品控故事适合此渠道但未有效利用</w:t>
            </w:r>
          </w:p>
        </w:tc>
      </w:tr>
      <w:tr>
        <w:tc>
          <w:tcPr>
            <w:tcW w:type="dxa" w:w="1587"/>
            <w:shd w:val="clear" w:color="auto" w:fill="F2F6FA"/>
          </w:tcPr>
          <w:p>
            <w:r>
              <w:rPr>
                <w:sz w:val="18"/>
              </w:rPr>
              <w:t>抖音电商</w:t>
            </w:r>
          </w:p>
        </w:tc>
        <w:tc>
          <w:tcPr>
            <w:tcW w:type="dxa" w:w="2551"/>
            <w:shd w:val="clear" w:color="auto" w:fill="F2F6FA"/>
          </w:tcPr>
          <w:p>
            <w:r>
              <w:rPr>
                <w:sz w:val="18"/>
              </w:rPr>
              <w:t>有店，直播无规模化运营</w:t>
              <w:br/>
              <w:t>产品种草内容缺失</w:t>
            </w:r>
          </w:p>
        </w:tc>
        <w:tc>
          <w:tcPr>
            <w:tcW w:type="dxa" w:w="4932"/>
            <w:shd w:val="clear" w:color="auto" w:fill="F2F6FA"/>
          </w:tcPr>
          <w:p>
            <w:r>
              <w:rPr>
                <w:sz w:val="18"/>
              </w:rPr>
              <w:t>最大增量渠道但比乐投入产出效率最低——缺少爆品策略</w:t>
            </w:r>
          </w:p>
        </w:tc>
      </w:tr>
      <w:tr>
        <w:tc>
          <w:tcPr>
            <w:tcW w:type="dxa" w:w="1587"/>
          </w:tcPr>
          <w:p>
            <w:r>
              <w:rPr>
                <w:sz w:val="18"/>
              </w:rPr>
              <w:t>拼多多</w:t>
            </w:r>
          </w:p>
        </w:tc>
        <w:tc>
          <w:tcPr>
            <w:tcW w:type="dxa" w:w="2551"/>
          </w:tcPr>
          <w:p>
            <w:r>
              <w:rPr>
                <w:sz w:val="18"/>
              </w:rPr>
              <w:t>有店，以中低端线为主</w:t>
            </w:r>
          </w:p>
        </w:tc>
        <w:tc>
          <w:tcPr>
            <w:tcW w:type="dxa" w:w="4932"/>
          </w:tcPr>
          <w:p>
            <w:r>
              <w:rPr>
                <w:sz w:val="18"/>
              </w:rPr>
              <w:t>与品牌中高端定位存在张力，需谨慎管理价格体系</w:t>
            </w:r>
          </w:p>
        </w:tc>
      </w:tr>
    </w:tbl>
    <w:p/>
    <w:p>
      <w:r>
        <w:rPr>
          <w:color w:val="1A1A17"/>
          <w:sz w:val="21"/>
        </w:rPr>
        <w:t>线上生意核心诊断：比乐四个平台都有店铺，但没有一个平台能称为强势。天猫缺少爆品带动、京东缺乏内容载体、抖音缺少种草转化、拼多多与定位冲突。对比麦富迪——每个电商主图都有中国第一标签，品牌资产系统化覆盖所有触点。比乐的电商不是缺流量，是缺一个让消费者在搜索结果中多停留三秒的理由。</w:t>
      </w:r>
    </w:p>
    <w:p>
      <w:pPr>
        <w:pStyle w:val="Heading3"/>
      </w:pPr>
      <w:r>
        <w:rPr>
          <w:color w:val="1A2744"/>
        </w:rPr>
        <w:t>线下生意渠道</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2C3E50"/>
          </w:tcPr>
          <w:p>
            <w:pPr>
              <w:jc w:val="center"/>
            </w:pPr>
            <w:r>
              <w:rPr>
                <w:b/>
                <w:color w:val="FFFFFF"/>
                <w:sz w:val="18"/>
              </w:rPr>
              <w:t>生意渠道</w:t>
            </w:r>
          </w:p>
        </w:tc>
        <w:tc>
          <w:tcPr>
            <w:tcW w:type="dxa" w:w="2268"/>
            <w:shd w:val="clear" w:color="auto" w:fill="2C3E50"/>
          </w:tcPr>
          <w:p>
            <w:pPr>
              <w:jc w:val="center"/>
            </w:pPr>
            <w:r>
              <w:rPr>
                <w:b/>
                <w:color w:val="FFFFFF"/>
                <w:sz w:val="18"/>
              </w:rPr>
              <w:t>比乐覆盖状态</w:t>
            </w:r>
          </w:p>
        </w:tc>
        <w:tc>
          <w:tcPr>
            <w:tcW w:type="dxa" w:w="5102"/>
            <w:shd w:val="clear" w:color="auto" w:fill="2C3E50"/>
          </w:tcPr>
          <w:p>
            <w:pPr>
              <w:jc w:val="center"/>
            </w:pPr>
            <w:r>
              <w:rPr>
                <w:b/>
                <w:color w:val="FFFFFF"/>
                <w:sz w:val="18"/>
              </w:rPr>
              <w:t>竞争力评估</w:t>
            </w:r>
          </w:p>
        </w:tc>
      </w:tr>
      <w:tr>
        <w:tc>
          <w:tcPr>
            <w:tcW w:type="dxa" w:w="1701"/>
            <w:shd w:val="clear" w:color="auto" w:fill="F2F6FA"/>
          </w:tcPr>
          <w:p>
            <w:r>
              <w:rPr>
                <w:sz w:val="18"/>
              </w:rPr>
              <w:t>宠物店</w:t>
            </w:r>
          </w:p>
        </w:tc>
        <w:tc>
          <w:tcPr>
            <w:tcW w:type="dxa" w:w="2268"/>
            <w:shd w:val="clear" w:color="auto" w:fill="F2F6FA"/>
          </w:tcPr>
          <w:p>
            <w:r>
              <w:rPr>
                <w:sz w:val="18"/>
              </w:rPr>
              <w:t>有覆盖但深度不够</w:t>
              <w:br/>
              <w:t>有货但不主推</w:t>
            </w:r>
          </w:p>
        </w:tc>
        <w:tc>
          <w:tcPr>
            <w:tcW w:type="dxa" w:w="5102"/>
            <w:shd w:val="clear" w:color="auto" w:fill="F2F6FA"/>
          </w:tcPr>
          <w:p>
            <w:r>
              <w:rPr>
                <w:sz w:val="18"/>
              </w:rPr>
              <w:t>宠物店主推的是消费者点名要的品牌（麦富迪）或利润最高的品牌（皇家），比乐不在两者之列</w:t>
            </w:r>
          </w:p>
        </w:tc>
      </w:tr>
      <w:tr>
        <w:tc>
          <w:tcPr>
            <w:tcW w:type="dxa" w:w="1701"/>
          </w:tcPr>
          <w:p>
            <w:r>
              <w:rPr>
                <w:sz w:val="18"/>
              </w:rPr>
              <w:t>山姆会员店</w:t>
            </w:r>
          </w:p>
        </w:tc>
        <w:tc>
          <w:tcPr>
            <w:tcW w:type="dxa" w:w="2268"/>
          </w:tcPr>
          <w:p>
            <w:r>
              <w:rPr>
                <w:sz w:val="18"/>
              </w:rPr>
              <w:t>未入场</w:t>
            </w:r>
          </w:p>
        </w:tc>
        <w:tc>
          <w:tcPr>
            <w:tcW w:type="dxa" w:w="5102"/>
          </w:tcPr>
          <w:p>
            <w:r>
              <w:rPr>
                <w:sz w:val="18"/>
              </w:rPr>
              <w:t>高端会员制渠道是高端品牌背书，麦富迪已建立显著存在</w:t>
            </w:r>
          </w:p>
        </w:tc>
      </w:tr>
      <w:tr>
        <w:tc>
          <w:tcPr>
            <w:tcW w:type="dxa" w:w="1701"/>
            <w:shd w:val="clear" w:color="auto" w:fill="F2F6FA"/>
          </w:tcPr>
          <w:p>
            <w:r>
              <w:rPr>
                <w:sz w:val="18"/>
              </w:rPr>
              <w:t>盒马</w:t>
            </w:r>
          </w:p>
        </w:tc>
        <w:tc>
          <w:tcPr>
            <w:tcW w:type="dxa" w:w="2268"/>
            <w:shd w:val="clear" w:color="auto" w:fill="F2F6FA"/>
          </w:tcPr>
          <w:p>
            <w:r>
              <w:rPr>
                <w:sz w:val="18"/>
              </w:rPr>
              <w:t>未入场</w:t>
            </w:r>
          </w:p>
        </w:tc>
        <w:tc>
          <w:tcPr>
            <w:tcW w:type="dxa" w:w="5102"/>
            <w:shd w:val="clear" w:color="auto" w:fill="F2F6FA"/>
          </w:tcPr>
          <w:p>
            <w:r>
              <w:rPr>
                <w:sz w:val="18"/>
              </w:rPr>
              <w:t>与山姆同理——不在高端商超出现的高端宠物食品，消费者默认不是高端</w:t>
            </w:r>
          </w:p>
        </w:tc>
      </w:tr>
      <w:tr>
        <w:tc>
          <w:tcPr>
            <w:tcW w:type="dxa" w:w="1701"/>
          </w:tcPr>
          <w:p>
            <w:r>
              <w:rPr>
                <w:sz w:val="18"/>
              </w:rPr>
              <w:t>商超（家乐福/永辉等）</w:t>
            </w:r>
          </w:p>
        </w:tc>
        <w:tc>
          <w:tcPr>
            <w:tcW w:type="dxa" w:w="2268"/>
          </w:tcPr>
          <w:p>
            <w:r>
              <w:rPr>
                <w:sz w:val="18"/>
              </w:rPr>
              <w:t>极有限覆盖</w:t>
            </w:r>
          </w:p>
        </w:tc>
        <w:tc>
          <w:tcPr>
            <w:tcW w:type="dxa" w:w="5102"/>
          </w:tcPr>
          <w:p>
            <w:r>
              <w:rPr>
                <w:sz w:val="18"/>
              </w:rPr>
              <w:t>商超渠道宠粮货架有限，比乐缺少与渠道谈判的品牌势能</w:t>
            </w:r>
          </w:p>
        </w:tc>
      </w:tr>
      <w:tr>
        <w:tc>
          <w:tcPr>
            <w:tcW w:type="dxa" w:w="1701"/>
            <w:shd w:val="clear" w:color="auto" w:fill="F2F6FA"/>
          </w:tcPr>
          <w:p>
            <w:r>
              <w:rPr>
                <w:sz w:val="18"/>
              </w:rPr>
              <w:t>宠物医院</w:t>
            </w:r>
          </w:p>
        </w:tc>
        <w:tc>
          <w:tcPr>
            <w:tcW w:type="dxa" w:w="2268"/>
            <w:shd w:val="clear" w:color="auto" w:fill="F2F6FA"/>
          </w:tcPr>
          <w:p>
            <w:r>
              <w:rPr>
                <w:sz w:val="18"/>
              </w:rPr>
              <w:t>零覆盖</w:t>
            </w:r>
          </w:p>
        </w:tc>
        <w:tc>
          <w:tcPr>
            <w:tcW w:type="dxa" w:w="5102"/>
            <w:shd w:val="clear" w:color="auto" w:fill="F2F6FA"/>
          </w:tcPr>
          <w:p>
            <w:r>
              <w:rPr>
                <w:sz w:val="18"/>
              </w:rPr>
              <w:t>这是最大盲区——比乐无处方粮级别的科学背书，完全无法进入专业推荐体系</w:t>
            </w:r>
          </w:p>
        </w:tc>
      </w:tr>
    </w:tbl>
    <w:p/>
    <w:p>
      <w:r>
        <w:rPr>
          <w:b/>
          <w:color w:val="1A1A17"/>
          <w:sz w:val="21"/>
        </w:rPr>
        <w:t>▎ 生意渠道核心矛盾：</w:t>
      </w:r>
      <w:r>
        <w:rPr>
          <w:color w:val="1A1A17"/>
          <w:sz w:val="21"/>
        </w:rPr>
        <w:t>比乐在每一个渠道都有存在，但在每一个渠道都没有壁垒。宠物店是有货但不主推，线上是有店但不爆款，宠物医院是零覆盖，商超是未入场。这种全面但不深入的渠道结构，是品牌力不足的结果——渠道愿意主推的是消费者主动指名要的品牌，或者是给渠道最高利润的品牌，而比乐两者都不是。</w:t>
      </w:r>
    </w:p>
    <w:p>
      <w:pPr>
        <w:pStyle w:val="Heading2"/>
      </w:pPr>
      <w:r>
        <w:rPr>
          <w:color w:val="1A2744"/>
        </w:rPr>
        <w:t>4.2  品牌力——品牌定位、营销媒介与传播诊断</w:t>
      </w:r>
    </w:p>
    <w:p>
      <w:pPr>
        <w:pStyle w:val="Heading3"/>
      </w:pPr>
      <w:r>
        <w:rPr>
          <w:color w:val="1A2744"/>
        </w:rPr>
        <w:t>比乐品牌排名完整清单</w:t>
      </w:r>
    </w:p>
    <w:p>
      <w:r>
        <w:rPr>
          <w:color w:val="1A1A17"/>
          <w:sz w:val="21"/>
        </w:rPr>
        <w:t>比乐在三大消费者品牌榜单（艾媒金榜、中国品牌网、CNPP十大品牌网）中均未进入前十，仅在弗若斯特沙利文的企业/ODM维度中出现。</w:t>
      </w:r>
    </w:p>
    <w:p>
      <w:r>
        <w:rPr>
          <w:b/>
          <w:color w:val="C53030"/>
          <w:sz w:val="21"/>
        </w:rPr>
        <w:t>⚠ 2025年艾媒金榜——比乐未进入前十。</w:t>
      </w:r>
    </w:p>
    <w:p>
      <w:r>
        <w:rPr>
          <w:b/>
          <w:color w:val="C53030"/>
          <w:sz w:val="21"/>
        </w:rPr>
        <w:t>⚠ 2026年中国品牌网——比乐未进入前十。</w:t>
      </w:r>
    </w:p>
    <w:p>
      <w:r>
        <w:rPr>
          <w:b/>
          <w:color w:val="C53030"/>
          <w:sz w:val="21"/>
        </w:rPr>
        <w:t>⚠ 2026年CNPP十大品牌网——比乐未进入前十。</w:t>
      </w:r>
    </w:p>
    <w:p>
      <w:r>
        <w:rPr>
          <w:color w:val="1A1A17"/>
          <w:sz w:val="21"/>
        </w:rPr>
        <w:t>弗若斯特沙利文（招股书引用）：福贝按ODM第三方制造份额排第二（5.3%），按企业总营收在已上市/拟上市宠食企业中排第四（乖宝52亿&gt;中宠45亿&gt;天元28亿&gt;福贝10亿）。</w:t>
      </w:r>
    </w:p>
    <w:p>
      <w:pPr>
        <w:pStyle w:val="Heading3"/>
      </w:pPr>
      <w:r>
        <w:rPr>
          <w:color w:val="1A2744"/>
        </w:rPr>
        <w:t>品牌营销大帽子：比乐的campaign审计</w:t>
      </w:r>
    </w:p>
    <w:p>
      <w:r>
        <w:rPr>
          <w:color w:val="1A1A17"/>
          <w:sz w:val="21"/>
        </w:rPr>
        <w:t>比乐的品牌营销围绕人宠长久陪伴构建了公益矩阵。2025年联合芭莎宠爱发起【比生老友】公益企划，以退役工作犬为核心叙事主体，专题视频上线首日播放量突破千万。创新评论兑换捐赠机制——用户在小红书每发布一条相关评论，比乐即向公益组织捐助20g狗粮。此外有上海地铁公益广告和社区科学养宠公益。</w:t>
      </w:r>
    </w:p>
    <w:p>
      <w:r>
        <w:rPr>
          <w:b/>
          <w:color w:val="1A1A17"/>
          <w:sz w:val="21"/>
        </w:rPr>
        <w:t>▎ 营销核心问题不是没有好故事：</w:t>
      </w:r>
      <w:r>
        <w:rPr>
          <w:color w:val="1A1A17"/>
          <w:sz w:val="21"/>
        </w:rPr>
        <w:t>比乐有在宠粮赛道里少见的公益温度叙事（对比麦富迪的工厂开放、伯纳天纯的工艺升级），有行业最透明的品控体系作为信任弹药库，有老年犬分阶营养这个独特品类定位。但运营逻辑不是让这些资产在每个渠道被消费者感知，而是让这些资产存在于品牌官方讲稿里。</w:t>
      </w:r>
    </w:p>
    <w:p>
      <w:pPr>
        <w:pStyle w:val="Heading3"/>
      </w:pPr>
      <w:r>
        <w:rPr>
          <w:color w:val="1A2744"/>
        </w:rPr>
        <w:t>营销媒介渠道扫描</w:t>
      </w:r>
    </w:p>
    <w:p>
      <w:pPr>
        <w:ind w:left="567"/>
        <w:pBdr>
          <w:left w:val="single" w:sz="12" w:space="6" w:color="4A9B7C"/>
        </w:pBdr>
      </w:pPr>
      <w:r>
        <w:rPr>
          <w:color w:val="444444"/>
          <w:sz w:val="20"/>
        </w:rPr>
        <w:t>营销媒介渠道（品牌广告投放与内容传播场所）与前述生意渠道（消费者购买产品的场所）是两个独立维度。以下扫描比乐在四大线上营销媒介和三大线下营销媒介的落地执行情况。</w:t>
      </w:r>
    </w:p>
    <w:p>
      <w:pPr>
        <w:pStyle w:val="Heading3"/>
      </w:pPr>
      <w:r>
        <w:rPr>
          <w:color w:val="1A2744"/>
        </w:rPr>
        <w:t>线上营销媒介</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val="clear" w:color="auto" w:fill="2C3E50"/>
          </w:tcPr>
          <w:p>
            <w:pPr>
              <w:jc w:val="center"/>
            </w:pPr>
            <w:r>
              <w:rPr>
                <w:b/>
                <w:color w:val="FFFFFF"/>
                <w:sz w:val="18"/>
              </w:rPr>
              <w:t>营销媒介</w:t>
            </w:r>
          </w:p>
        </w:tc>
        <w:tc>
          <w:tcPr>
            <w:tcW w:type="dxa" w:w="2268"/>
            <w:shd w:val="clear" w:color="auto" w:fill="2C3E50"/>
          </w:tcPr>
          <w:p>
            <w:pPr>
              <w:jc w:val="center"/>
            </w:pPr>
            <w:r>
              <w:rPr>
                <w:b/>
                <w:color w:val="FFFFFF"/>
                <w:sz w:val="18"/>
              </w:rPr>
              <w:t>比乐执行状态</w:t>
            </w:r>
          </w:p>
        </w:tc>
        <w:tc>
          <w:tcPr>
            <w:tcW w:type="dxa" w:w="5386"/>
            <w:shd w:val="clear" w:color="auto" w:fill="2C3E50"/>
          </w:tcPr>
          <w:p>
            <w:pPr>
              <w:jc w:val="center"/>
            </w:pPr>
            <w:r>
              <w:rPr>
                <w:b/>
                <w:color w:val="FFFFFF"/>
                <w:sz w:val="18"/>
              </w:rPr>
              <w:t>核心诊断</w:t>
            </w:r>
          </w:p>
        </w:tc>
      </w:tr>
      <w:tr>
        <w:tc>
          <w:tcPr>
            <w:tcW w:type="dxa" w:w="1417"/>
            <w:shd w:val="clear" w:color="auto" w:fill="F2F6FA"/>
          </w:tcPr>
          <w:p>
            <w:r>
              <w:rPr>
                <w:sz w:val="18"/>
              </w:rPr>
              <w:t>小红书内容</w:t>
            </w:r>
          </w:p>
        </w:tc>
        <w:tc>
          <w:tcPr>
            <w:tcW w:type="dxa" w:w="2268"/>
            <w:shd w:val="clear" w:color="auto" w:fill="F2F6FA"/>
          </w:tcPr>
          <w:p>
            <w:r>
              <w:rPr>
                <w:sz w:val="18"/>
              </w:rPr>
              <w:t>PR逻辑非种草逻辑</w:t>
              <w:br/>
              <w:t>官方发布+评论兑换机制</w:t>
            </w:r>
          </w:p>
        </w:tc>
        <w:tc>
          <w:tcPr>
            <w:tcW w:type="dxa" w:w="5386"/>
            <w:shd w:val="clear" w:color="auto" w:fill="F2F6FA"/>
          </w:tcPr>
          <w:p>
            <w:r>
              <w:rPr>
                <w:sz w:val="18"/>
              </w:rPr>
              <w:t>【比生老友】以品牌官方发布方式传播，是PR逻辑而非种草逻辑。蓝氏的新手养猫攻略不写品牌名，写的是第一次养猫怎么选粮看这篇就够了——消费者来解决问题，然后发现方案用的是蓝氏。比乐说的是我们是好品牌，消费者想看的是我的狗应该吃什么</w:t>
            </w:r>
          </w:p>
        </w:tc>
      </w:tr>
      <w:tr>
        <w:tc>
          <w:tcPr>
            <w:tcW w:type="dxa" w:w="1417"/>
          </w:tcPr>
          <w:p>
            <w:r>
              <w:rPr>
                <w:sz w:val="18"/>
              </w:rPr>
              <w:t>抖音短视频+直播</w:t>
            </w:r>
          </w:p>
        </w:tc>
        <w:tc>
          <w:tcPr>
            <w:tcW w:type="dxa" w:w="2268"/>
          </w:tcPr>
          <w:p>
            <w:r>
              <w:rPr>
                <w:sz w:val="18"/>
              </w:rPr>
              <w:t>有投放但缺种草模板</w:t>
              <w:br/>
              <w:t>公益视频直接搬运</w:t>
            </w:r>
          </w:p>
        </w:tc>
        <w:tc>
          <w:tcPr>
            <w:tcW w:type="dxa" w:w="5386"/>
          </w:tcPr>
          <w:p>
            <w:r>
              <w:rPr>
                <w:sz w:val="18"/>
              </w:rPr>
              <w:t>公益主题在抖音即时兴趣平台上几乎没有转化力。消费者刷到公益内容，感动3秒，划走——不会去搜索品牌。公益适合小红书深度沉淀，抖音更适合产品种草和直播转化</w:t>
            </w:r>
          </w:p>
        </w:tc>
      </w:tr>
      <w:tr>
        <w:tc>
          <w:tcPr>
            <w:tcW w:type="dxa" w:w="1417"/>
            <w:shd w:val="clear" w:color="auto" w:fill="F2F6FA"/>
          </w:tcPr>
          <w:p>
            <w:r>
              <w:rPr>
                <w:sz w:val="18"/>
              </w:rPr>
              <w:t>B站长视频</w:t>
            </w:r>
          </w:p>
        </w:tc>
        <w:tc>
          <w:tcPr>
            <w:tcW w:type="dxa" w:w="2268"/>
            <w:shd w:val="clear" w:color="auto" w:fill="F2F6FA"/>
          </w:tcPr>
          <w:p>
            <w:r>
              <w:rPr>
                <w:sz w:val="18"/>
              </w:rPr>
              <w:t>完全缺位</w:t>
            </w:r>
          </w:p>
        </w:tc>
        <w:tc>
          <w:tcPr>
            <w:tcW w:type="dxa" w:w="5386"/>
            <w:shd w:val="clear" w:color="auto" w:fill="F2F6FA"/>
          </w:tcPr>
          <w:p>
            <w:r>
              <w:rPr>
                <w:sz w:val="18"/>
              </w:rPr>
              <w:t>B站的长视频和深度评测生态与比乐品控透明度资产高度匹配。福贝工厂SGS月检2400批次、区块链存证、CNAS实验室——这些内容如果做成纪录片式评测或国产宠粮品控探厂系列，在B站有天然受众基础。放弃B站等于放弃了最能用深内容建立品牌信任的平台</w:t>
            </w:r>
          </w:p>
        </w:tc>
      </w:tr>
      <w:tr>
        <w:tc>
          <w:tcPr>
            <w:tcW w:type="dxa" w:w="1417"/>
          </w:tcPr>
          <w:p>
            <w:r>
              <w:rPr>
                <w:sz w:val="18"/>
              </w:rPr>
              <w:t>微博</w:t>
            </w:r>
          </w:p>
        </w:tc>
        <w:tc>
          <w:tcPr>
            <w:tcW w:type="dxa" w:w="2268"/>
          </w:tcPr>
          <w:p>
            <w:r>
              <w:rPr>
                <w:sz w:val="18"/>
              </w:rPr>
              <w:t>缺乏持续运营</w:t>
            </w:r>
          </w:p>
        </w:tc>
        <w:tc>
          <w:tcPr>
            <w:tcW w:type="dxa" w:w="5386"/>
          </w:tcPr>
          <w:p>
            <w:r>
              <w:rPr>
                <w:sz w:val="18"/>
              </w:rPr>
              <w:t>对比蓝氏×王濛在微博的联名话题引爆，微博的话题引爆+热搜+粉丝互动生态非常适合品牌事件营销。比乐【比生老友】公益企划如果在微博有系统化传播节奏和话题运营，传播效率可能远高于小红书</w:t>
            </w:r>
          </w:p>
        </w:tc>
      </w:tr>
    </w:tbl>
    <w:p/>
    <w:p>
      <w:pPr>
        <w:pStyle w:val="Heading3"/>
      </w:pPr>
      <w:r>
        <w:rPr>
          <w:color w:val="1A2744"/>
        </w:rPr>
        <w:t>线下营销媒介</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val="clear" w:color="auto" w:fill="2C3E50"/>
          </w:tcPr>
          <w:p>
            <w:pPr>
              <w:jc w:val="center"/>
            </w:pPr>
            <w:r>
              <w:rPr>
                <w:b/>
                <w:color w:val="FFFFFF"/>
                <w:sz w:val="18"/>
              </w:rPr>
              <w:t>营销媒介</w:t>
            </w:r>
          </w:p>
        </w:tc>
        <w:tc>
          <w:tcPr>
            <w:tcW w:type="dxa" w:w="2268"/>
            <w:shd w:val="clear" w:color="auto" w:fill="2C3E50"/>
          </w:tcPr>
          <w:p>
            <w:pPr>
              <w:jc w:val="center"/>
            </w:pPr>
            <w:r>
              <w:rPr>
                <w:b/>
                <w:color w:val="FFFFFF"/>
                <w:sz w:val="18"/>
              </w:rPr>
              <w:t>比乐执行状态</w:t>
            </w:r>
          </w:p>
        </w:tc>
        <w:tc>
          <w:tcPr>
            <w:tcW w:type="dxa" w:w="5386"/>
            <w:shd w:val="clear" w:color="auto" w:fill="2C3E50"/>
          </w:tcPr>
          <w:p>
            <w:pPr>
              <w:jc w:val="center"/>
            </w:pPr>
            <w:r>
              <w:rPr>
                <w:b/>
                <w:color w:val="FFFFFF"/>
                <w:sz w:val="18"/>
              </w:rPr>
              <w:t>核心诊断</w:t>
            </w:r>
          </w:p>
        </w:tc>
      </w:tr>
      <w:tr>
        <w:tc>
          <w:tcPr>
            <w:tcW w:type="dxa" w:w="1417"/>
            <w:shd w:val="clear" w:color="auto" w:fill="F2F6FA"/>
          </w:tcPr>
          <w:p>
            <w:r>
              <w:rPr>
                <w:sz w:val="18"/>
              </w:rPr>
              <w:t>梯广</w:t>
            </w:r>
          </w:p>
        </w:tc>
        <w:tc>
          <w:tcPr>
            <w:tcW w:type="dxa" w:w="2268"/>
            <w:shd w:val="clear" w:color="auto" w:fill="F2F6FA"/>
          </w:tcPr>
          <w:p>
            <w:r>
              <w:rPr>
                <w:sz w:val="18"/>
              </w:rPr>
              <w:t>未投放</w:t>
            </w:r>
          </w:p>
        </w:tc>
        <w:tc>
          <w:tcPr>
            <w:tcW w:type="dxa" w:w="5386"/>
            <w:shd w:val="clear" w:color="auto" w:fill="F2F6FA"/>
          </w:tcPr>
          <w:p>
            <w:r>
              <w:rPr>
                <w:sz w:val="18"/>
              </w:rPr>
              <w:t>麦富迪和伯纳天纯均在此渠道有投放。高端社区梯广精准匹配高端宠粮的消费人群画像</w:t>
            </w:r>
          </w:p>
        </w:tc>
      </w:tr>
      <w:tr>
        <w:tc>
          <w:tcPr>
            <w:tcW w:type="dxa" w:w="1417"/>
          </w:tcPr>
          <w:p>
            <w:r>
              <w:rPr>
                <w:sz w:val="18"/>
              </w:rPr>
              <w:t>地铁</w:t>
            </w:r>
          </w:p>
        </w:tc>
        <w:tc>
          <w:tcPr>
            <w:tcW w:type="dxa" w:w="2268"/>
          </w:tcPr>
          <w:p>
            <w:r>
              <w:rPr>
                <w:sz w:val="18"/>
              </w:rPr>
              <w:t>仅上海地铁公益广告</w:t>
            </w:r>
          </w:p>
        </w:tc>
        <w:tc>
          <w:tcPr>
            <w:tcW w:type="dxa" w:w="5386"/>
          </w:tcPr>
          <w:p>
            <w:r>
              <w:rPr>
                <w:sz w:val="18"/>
              </w:rPr>
              <w:t>唯一的线下媒介投放。公益方向正确但单点投放无法形成持续品牌认知累积</w:t>
            </w:r>
          </w:p>
        </w:tc>
      </w:tr>
      <w:tr>
        <w:tc>
          <w:tcPr>
            <w:tcW w:type="dxa" w:w="1417"/>
            <w:shd w:val="clear" w:color="auto" w:fill="F2F6FA"/>
          </w:tcPr>
          <w:p>
            <w:r>
              <w:rPr>
                <w:sz w:val="18"/>
              </w:rPr>
              <w:t>户外OOH</w:t>
            </w:r>
          </w:p>
        </w:tc>
        <w:tc>
          <w:tcPr>
            <w:tcW w:type="dxa" w:w="2268"/>
            <w:shd w:val="clear" w:color="auto" w:fill="F2F6FA"/>
          </w:tcPr>
          <w:p>
            <w:r>
              <w:rPr>
                <w:sz w:val="18"/>
              </w:rPr>
              <w:t>未投放</w:t>
            </w:r>
          </w:p>
        </w:tc>
        <w:tc>
          <w:tcPr>
            <w:tcW w:type="dxa" w:w="5386"/>
            <w:shd w:val="clear" w:color="auto" w:fill="F2F6FA"/>
          </w:tcPr>
          <w:p>
            <w:r>
              <w:rPr>
                <w:sz w:val="18"/>
              </w:rPr>
              <w:t>麦富迪覆盖户外全维度。比乐缺少可重复、可规模化的线下媒介策略</w:t>
            </w:r>
          </w:p>
        </w:tc>
      </w:tr>
    </w:tbl>
    <w:p/>
    <w:p>
      <w:r>
        <w:rPr>
          <w:b/>
          <w:color w:val="1A1A17"/>
          <w:sz w:val="21"/>
        </w:rPr>
        <w:t>▎ 营销媒介核心诊断：</w:t>
      </w:r>
      <w:r>
        <w:rPr>
          <w:color w:val="1A1A17"/>
          <w:sz w:val="21"/>
        </w:rPr>
        <w:t>对比麦富迪——欧睿认证后每场直播、每条短视频、每个电商主图都有中国第一标签。对比伯纳天纯——L Catterton投资后每篇内容、每个包装都有LVMH系背书。比乐缺的不是新故事，缺的是把已有的故事（SGS月检+区块链存证作为品牌标签）在每个渠道重复一千遍的执行力。</w:t>
      </w:r>
    </w:p>
    <w:p>
      <w:pPr>
        <w:pStyle w:val="Heading3"/>
      </w:pPr>
      <w:r>
        <w:rPr>
          <w:color w:val="1A2744"/>
        </w:rPr>
        <w:t>营销ROI问题量化</w:t>
      </w:r>
    </w:p>
    <w:p>
      <w:r>
        <w:rPr>
          <w:color w:val="1A1A17"/>
          <w:sz w:val="21"/>
        </w:rPr>
        <w:t>营销费用从约1.05亿持续增至1.33亿（+26.7%），但比乐品牌收入不增反降18.6%。三个具体问题：</w:t>
      </w:r>
    </w:p>
    <w:p>
      <w:r>
        <w:rPr>
          <w:b/>
          <w:color w:val="1A1A17"/>
          <w:sz w:val="21"/>
        </w:rPr>
        <w:t>▎ ①公益像一次性烟花。</w:t>
      </w:r>
      <w:r>
        <w:rPr>
          <w:color w:val="1A1A17"/>
          <w:sz w:val="21"/>
        </w:rPr>
        <w:t>【比生老友】是一次漂亮campaign但没有后续——没有第二季、第三季。麦富迪的【厂开玩】做了十年，伯纳天纯的HPP工艺迭代了三年。比乐缺的不是方向，是节奏——公益要做成品牌资产，需要有持续性的IP化运营。</w:t>
      </w:r>
    </w:p>
    <w:p>
      <w:r>
        <w:rPr>
          <w:b/>
          <w:color w:val="1A1A17"/>
          <w:sz w:val="21"/>
        </w:rPr>
        <w:t>▎ ②内容策略缺少消费语言。</w:t>
      </w:r>
      <w:r>
        <w:rPr>
          <w:color w:val="1A1A17"/>
          <w:sz w:val="21"/>
        </w:rPr>
        <w:t>抖音需要15秒产品种草而非公益长视频，小红书需要选粮攻略而非品牌PR稿，B站需要纪录片式评测而非完全缺位。每个平台的内容消费逻辑不同，比乐的内容策略没有做平台适配。</w:t>
      </w:r>
    </w:p>
    <w:p>
      <w:r>
        <w:rPr>
          <w:b/>
          <w:color w:val="1A1A17"/>
          <w:sz w:val="21"/>
        </w:rPr>
        <w:t>▎ ③品牌资产不重复。</w:t>
      </w:r>
      <w:r>
        <w:rPr>
          <w:color w:val="1A1A17"/>
          <w:sz w:val="21"/>
        </w:rPr>
        <w:t>对比麦富迪——欧睿认证后每场直播、每条短视频、每个电商主图都有中国第一标签。比乐有SGS月检+区块链存证但从未作为品牌标签系统化使用。2400批次飞行抽检这个数字本应像麦富迪的中国第一一样出现在每个消费者触点。</w:t>
      </w:r>
    </w:p>
    <w:p>
      <w:pPr>
        <w:pStyle w:val="Heading3"/>
      </w:pPr>
      <w:r>
        <w:rPr>
          <w:color w:val="1A2744"/>
        </w:rPr>
        <w:t>组织能力诊断</w:t>
      </w:r>
    </w:p>
    <w:p>
      <w:r>
        <w:rPr>
          <w:color w:val="1A1A17"/>
          <w:sz w:val="21"/>
        </w:rPr>
        <w:t>福贝以ISTJ型企业自居——稳健、务实、工程师文化。这种文化在制造端是核心优势（品控执行、工艺精度、交付保障），但在品牌端是结构性短板。消费品牌需要的能力——用户洞察的感性触角、快速迭代的试错文化、品牌叙事的情感张力——与福贝的组织基因存在天然张力。</w:t>
      </w:r>
    </w:p>
    <w:p>
      <w:r>
        <w:rPr>
          <w:b/>
          <w:color w:val="1A1A17"/>
          <w:sz w:val="21"/>
        </w:rPr>
        <w:t>▎ 核心判断：</w:t>
      </w:r>
      <w:r>
        <w:rPr>
          <w:color w:val="1A1A17"/>
          <w:sz w:val="21"/>
        </w:rPr>
        <w:t>比乐的品牌困境不是营销预算不够，也不是产品不好——是组织的品牌能力缺位。制造文化强调零缺陷，消费品牌需要快速试错。当品牌团队提出一个需要三个月验证的种草策略时，制造文化下的决策者会问ROI怎么算——而消费品品牌的答案是先跑跑看。这不是对错问题，是基因不匹配问题。福贝如果想做品牌，需要的是组织层面的品牌能力植入——可能是一个独立的品牌事业部，而不是在制造体系下加一个品牌部门。</w:t>
      </w:r>
    </w:p>
    <w:p>
      <w:pPr>
        <w:pStyle w:val="Heading2"/>
      </w:pPr>
      <w:r>
        <w:rPr>
          <w:color w:val="1A2744"/>
        </w:rPr>
        <w:t>4.3  产品</w:t>
      </w:r>
    </w:p>
    <w:p>
      <w:pPr>
        <w:pStyle w:val="Heading3"/>
      </w:pPr>
      <w:r>
        <w:rPr>
          <w:color w:val="1A2744"/>
        </w:rPr>
        <w:t>比乐产品矩阵</w:t>
      </w:r>
    </w:p>
    <w:p>
      <w:r>
        <w:rPr>
          <w:color w:val="1A1A17"/>
          <w:sz w:val="21"/>
        </w:rPr>
        <w:t>依托福贝自有4.0智能工厂（膨化、烘焙、鲜粮、湿粮、冻干、乳品六大产线），比乐构建了覆盖犬猫全生命周期的产品矩阵。三大核心产品系列：</w:t>
      </w:r>
    </w:p>
    <w:p>
      <w:r>
        <w:rPr>
          <w:color w:val="1A1A17"/>
          <w:sz w:val="21"/>
        </w:rPr>
        <w:t>分阶营养系列——品牌核心基石。原味鲜系列经尚普咨询认证畅销10年，小型/中大型幼犬细分配方，搭配双拼冻干，0谷物配方。分阶优伴系列——比乐是老年犬分阶宠食开创者（尚普咨询认证），将老年期细分为初老期、中老期、高老期三个阶段，提供酥粮、烘焙粮、软粮、汤包等多种形态。</w:t>
      </w:r>
    </w:p>
    <w:p>
      <w:r>
        <w:rPr>
          <w:color w:val="1A1A17"/>
          <w:sz w:val="21"/>
        </w:rPr>
        <w:t>鲜活营养系列——功能粮矩阵。鸭肉梨狗粮经尚普咨询认证连续5年全国销量第一，54%鲜鸭肉+10%鲜梨+自研清火包。牛肉软骨素狗粮主打关节养护。低脂减肥狗粮以55%鲜鸡胸肉为主料。</w:t>
      </w:r>
    </w:p>
    <w:p>
      <w:r>
        <w:rPr>
          <w:color w:val="1A1A17"/>
          <w:sz w:val="21"/>
        </w:rPr>
        <w:t>东方营养系列——融合中式食养理念，选用青海牦牛、新疆三文鱼、广东清远麻鸡等地标性食材。</w:t>
      </w:r>
    </w:p>
    <w:p>
      <w:pPr>
        <w:pStyle w:val="Heading3"/>
      </w:pPr>
      <w:r>
        <w:rPr>
          <w:color w:val="1A2744"/>
        </w:rPr>
        <w:t>三级品控：行业标杆级</w:t>
      </w:r>
    </w:p>
    <w:p>
      <w:r>
        <w:rPr>
          <w:color w:val="1A1A17"/>
          <w:sz w:val="21"/>
        </w:rPr>
        <w:t>第一级——CNAS认证实验室：自有福贝工厂检测中心通过CNAS认证（ISO/IEC 17025），出厂前完成百项指标自检。第二级——月度第三方飞行抽检：不同于行业普遍的送检样模式，比乐每月联合SGS、华测等机构，对全渠道在售产品实施飞行抽检，从市场流通环节随机抽取正在销售的产品进行检测，截至2025年底累计完成超2400批次。第三级——一物一码全链路溯源：每袋产品配唯一溯源码，可查原料产地、生产批次、质检报告及流通环节。所有飞行抽检报告于每月15日公示，采用区块链技术存证，确保数据不可篡改。</w:t>
      </w:r>
    </w:p>
    <w:p>
      <w:r>
        <w:rPr>
          <w:b/>
          <w:color w:val="1A1A17"/>
          <w:sz w:val="21"/>
        </w:rPr>
        <w:t xml:space="preserve">▎ </w:t>
      </w:r>
      <w:r>
        <w:rPr>
          <w:color w:val="1A1A17"/>
          <w:sz w:val="21"/>
        </w:rPr>
        <w:t>麦富迪用十年【厂开玩】建立起来的信任资产，比乐用更先进的数据技术做到了但从未有效传播。2400批次飞行抽检、区块链存证、每月15日公示——这在全行业是最好的品控透明度——但消费者完全不知道。这是比乐最大的未变现品牌资产。</w:t>
      </w:r>
    </w:p>
    <w:p>
      <w:pPr>
        <w:pStyle w:val="Heading3"/>
      </w:pPr>
      <w:r>
        <w:rPr>
          <w:color w:val="1A2744"/>
        </w:rPr>
        <w:t>老年犬蓝海：被验证的差异化赛道</w:t>
      </w:r>
    </w:p>
    <w:p>
      <w:r>
        <w:rPr>
          <w:color w:val="1A1A17"/>
          <w:sz w:val="21"/>
        </w:rPr>
        <w:t>比乐最具战略价值的差异化，是在老年犬细分市场建立的先发优势。基于超700只犬猫的长期喂养数据，比乐创建了精准能量模型，将老年期按体型差异划分为初老、中老、高老三个阶段。</w:t>
      </w:r>
    </w:p>
    <w:p>
      <w:r>
        <w:rPr>
          <w:color w:val="1A1A17"/>
          <w:sz w:val="21"/>
        </w:rPr>
        <w:t>中国7岁以上老年犬数量已超3000万只（2025年），且以年均约12%的速度增长。老年犬年均食品消费额比成年犬高40%—60%。但市场上专门针对老年犬的产品覆盖率不足5%。比乐是目前市场上唯一提供三阶老犬方案的品牌（尚普咨询认证老年犬分阶宠食开创者）。</w:t>
      </w:r>
    </w:p>
    <w:p>
      <w:r>
        <w:rPr>
          <w:b/>
          <w:color w:val="C53030"/>
          <w:sz w:val="21"/>
        </w:rPr>
        <w:t>▎ 战略紧迫性：</w:t>
      </w:r>
      <w:r>
        <w:rPr>
          <w:color w:val="C53030"/>
          <w:sz w:val="21"/>
        </w:rPr>
        <w:t>如果比乐不能在36个月内把老年犬粮=比乐这个认知锁定，当麦富迪、伯纳天纯带着营销火力进入时，先发优势将被规模优势碾压。老年犬这条赛道的价值正在被全行业逐渐意识到——结构性的需求增长正在发生，而供给端仍几乎一片空白。这是比乐最值钱但最容易被人抢走的一张牌。</w:t>
      </w:r>
    </w:p>
    <w:p>
      <w:pPr>
        <w:pStyle w:val="Heading3"/>
      </w:pPr>
      <w:r>
        <w:rPr>
          <w:color w:val="1A2744"/>
        </w:rPr>
        <w:t>产品力的断层：有爆品没有爆品牌</w:t>
      </w:r>
    </w:p>
    <w:p>
      <w:r>
        <w:rPr>
          <w:b/>
          <w:color w:val="1A1A17"/>
          <w:sz w:val="21"/>
        </w:rPr>
        <w:t>▎ 核心诊断：</w:t>
      </w:r>
      <w:r>
        <w:rPr>
          <w:color w:val="1A1A17"/>
          <w:sz w:val="21"/>
        </w:rPr>
        <w:t>比乐不缺少产品力，缺少的是把产品力翻译成品牌认知的能力。鸭肉梨连续5年销量第一、原味鲜畅销10年、品控体系行业最透明——这些放在任何一个消费品品牌都是顶级产品资产。但鲜朗用冻干一个词就建立了品牌认知，比乐用了2400批次飞行抽检、95项奖项、20年历史、三阶分龄体系——却没有一个消费者记得住的品牌锚点。</w:t>
      </w:r>
    </w:p>
    <w:p>
      <w:pPr>
        <w:pStyle w:val="Heading2"/>
      </w:pPr>
      <w:r>
        <w:rPr>
          <w:color w:val="1A2744"/>
        </w:rPr>
        <w:t>4.4  趋势：五个正在重塑赛道的力量</w:t>
      </w:r>
    </w:p>
    <w:p>
      <w:r>
        <w:rPr>
          <w:b/>
          <w:color w:val="1A1A17"/>
          <w:sz w:val="21"/>
        </w:rPr>
        <w:t>▎ 趋势一：猫经济碾压狗经济。</w:t>
      </w:r>
      <w:r>
        <w:rPr>
          <w:color w:val="1A1A17"/>
          <w:sz w:val="21"/>
        </w:rPr>
        <w:t>猫粮在主粮市场占比从2020年38%升至2025年约52%，首次超越犬粮。城市年轻租房人群的约束条件——猫不需要遛、空间需求小、饲养门槛低——决定了猫&gt;狗趋势不可逆。对比乐意味着：狗粮强、猫粮弱的品牌在品类趋势上逆风。比乐猫粮品牌认知几乎为零，如果不能尽快在猫粮建立认知锚点，品牌整体增长将被品类趋势反向拖累。</w:t>
      </w:r>
    </w:p>
    <w:p>
      <w:r>
        <w:rPr>
          <w:b/>
          <w:color w:val="1A1A17"/>
          <w:sz w:val="21"/>
        </w:rPr>
        <w:t>▎ 趋势二：主粮从吃饱到吃对。</w:t>
      </w:r>
      <w:r>
        <w:rPr>
          <w:color w:val="1A1A17"/>
          <w:sz w:val="21"/>
        </w:rPr>
        <w:t>功能化宠粮市场2021—2025年CAGR超24%，是整体市场增速（5.1%）的近5倍。功能化产品均价高出普通主粮40%—120%。消费者决策从选品牌转向选问题→选方案。比乐的鸭肉梨（清火）、牛肉软骨素（关节）、低脂系列（减肥）都是功能化的正确方向，但被埋没在分阶营养的体系框架下。消费者不是我家狗上火找到鸭肉梨，而是碰巧买了才知道能清火。这不是产品力问题，是需求翻译问题。</w:t>
      </w:r>
    </w:p>
    <w:p>
      <w:r>
        <w:rPr>
          <w:b/>
          <w:color w:val="1A1A17"/>
          <w:sz w:val="21"/>
        </w:rPr>
        <w:t>▎ 趋势三：线上渗透加速——从卖货渠道到品牌塑造主场。</w:t>
      </w:r>
      <w:r>
        <w:rPr>
          <w:color w:val="1A1A17"/>
          <w:sz w:val="21"/>
        </w:rPr>
        <w:t>宠物食品线上占比从2020年51%攀升至2025年67.6%。75%的宠粮消费者购买前搜索评测/种草内容——品牌在内容平台搜索结果第一屏决定了超过一半的购买决策。比乐在内容生态中的存在感接近于零。抖音缺少种草模板，小红书是PR逻辑，B站完全缺位。一个年营销费1.33亿的品牌，在消费者最常搜索的平台找不到有效内容——不是预算问题，是内容策略问题。</w:t>
      </w:r>
    </w:p>
    <w:p>
      <w:r>
        <w:rPr>
          <w:b/>
          <w:color w:val="1A1A17"/>
          <w:sz w:val="21"/>
        </w:rPr>
        <w:t>▎ 趋势四：国产替代进入深水区。</w:t>
      </w:r>
      <w:r>
        <w:rPr>
          <w:color w:val="1A1A17"/>
          <w:sz w:val="21"/>
        </w:rPr>
        <w:t>2025年国产宠粮品牌市场份额突破65%，进口从2019年44%降至35%以下。高端猫粮市场国产品牌占比从2020年12%升至2025年38%。国产替代已从便宜替代进入信任超越阶段——麦富迪欧睿认证、伯纳天纯L Catterton投资都是标志性事件。对比乐是最大结构性利好，但这个窗口不是无限的——当国产替代渗透率超65%，竞速会从国产vs进口变成国产vs国产内部淘汰赛。留给比乐建立差异化认知的时间窗可能只有2—3年。</w:t>
      </w:r>
    </w:p>
    <w:p>
      <w:r>
        <w:rPr>
          <w:b/>
          <w:color w:val="1A1A17"/>
          <w:sz w:val="21"/>
        </w:rPr>
        <w:t>▎ 趋势五：宠物老龄化——被低估的结构性蓝海。</w:t>
      </w:r>
      <w:r>
        <w:rPr>
          <w:color w:val="1A1A17"/>
          <w:sz w:val="21"/>
        </w:rPr>
        <w:t>中国7岁以上老年犬已超3000万只，年均增速约12%。老年犬食品消费额比成年犬高40%—60%，但市场专门针对老年犬的产品覆盖率不足5%。这是比乐在整个竞争格局中唯一具备先发优势的赛道——行业唯一的老年犬三阶分龄方案、超700只犬猫喂养数据、尚普咨询开创者认证。但先发优势有时间窗口——当麦富迪和伯纳天纯带着营销火力进入时，比拼的不再是产品力而是品牌认知。</w:t>
      </w:r>
    </w:p>
    <w:p>
      <w:pPr>
        <w:pStyle w:val="Heading2"/>
      </w:pPr>
      <w:r>
        <w:rPr>
          <w:color w:val="1A2744"/>
        </w:rPr>
        <w:t>4.5  消费人群：四类正在定义购买的群体</w:t>
      </w:r>
    </w:p>
    <w:p>
      <w:r>
        <w:rPr>
          <w:b/>
          <w:color w:val="1A1A17"/>
          <w:sz w:val="21"/>
        </w:rPr>
        <w:t>▎ 人群一：Z世代首宠主——比乐最该打赢的人。</w:t>
      </w:r>
      <w:r>
        <w:rPr>
          <w:color w:val="1A1A17"/>
          <w:sz w:val="21"/>
        </w:rPr>
        <w:t>22—32岁、一二线城市、占宠粮消费新增用户65%以上。选粮路径是小红书/B站搜攻略→看测评→看成分表→对号入座。不信任品牌广告（信任度12%），但高度信任KOC和宠物博主（信任度68%）。超70%首宠主第一年换过至少一次粮。蓝氏2023年用【新手养猫攻略】精准捕获这个人群，这是比乐完全能做但没有做的事——比乐有分阶营养体系（幼犬幼猫阶段=完美的新手攻略素材），有2400批次飞行抽检数据（新手最需要的安全背书）。但这些资产放在了品牌官网而非消费者搜索路径的第一屏。</w:t>
      </w:r>
    </w:p>
    <w:p>
      <w:r>
        <w:rPr>
          <w:b/>
          <w:color w:val="1A1A17"/>
          <w:sz w:val="21"/>
        </w:rPr>
        <w:t>▎ 人群二：成分党——品控透明度的天然受众。</w:t>
      </w:r>
      <w:r>
        <w:rPr>
          <w:color w:val="1A1A17"/>
          <w:sz w:val="21"/>
        </w:rPr>
        <w:t>28—38岁、中高收入、科学养宠意识强。占宠粮消费者的15%，但一个人的评价可影响20—50人购买决策。63%成分党愿为透明化品控支付15%—30%溢价。比乐的品控体系是面向成分党的终极弹药库——CNAS认证实验室、SGS月检2400批次、区块链存证、一物一码全链路溯源。但从未以成分党能看懂的翻译版呈现——SGS月检应翻译为【我们每月随机从市场上买回来的粮送去测，测不过就停产】，而不是累计完成超2400批次检测。成分党不需要华丽叙事，需要的是让他们自己得出结论的证据链。</w:t>
      </w:r>
    </w:p>
    <w:p>
      <w:r>
        <w:rPr>
          <w:b/>
          <w:color w:val="1A1A17"/>
          <w:sz w:val="21"/>
        </w:rPr>
        <w:t>▎ 人群三：老年宠主——高净值高情感溢价群体。</w:t>
      </w:r>
      <w:r>
        <w:rPr>
          <w:color w:val="1A1A17"/>
          <w:sz w:val="21"/>
        </w:rPr>
        <w:t>35—55岁、宠物陪伴超5年、年均宠粮消费额高出首宠主约60%。决策关键词是怕——怕宠物老了吃不动、关节不行、寿命缩短。最听两种人：宠物医生（专业权威）和同样养老狗的人（同温层经验）。比乐老年犬三阶方案在中国绝无仅有，但知道这个方案的老年宠主微乎其微。核心问题不在产品而在渠道——老年宠主不在抖音和小红书的中心化流量，而在宠物医院诊室、宠物社群老狗家长群、老年犬照护指南PDF里。这是一个小众但极高转化率、极高客单价的群体——恰好适合一个营收3.33亿的品牌深耕。</w:t>
      </w:r>
    </w:p>
    <w:p>
      <w:r>
        <w:rPr>
          <w:b/>
          <w:color w:val="1A1A17"/>
          <w:sz w:val="21"/>
        </w:rPr>
        <w:t>▎ 人群四：下沉市场新宠主——下一波增量的人口基底。</w:t>
      </w:r>
      <w:r>
        <w:rPr>
          <w:color w:val="1A1A17"/>
          <w:sz w:val="21"/>
        </w:rPr>
        <w:t>三四五线城市、25—40岁。低线城市养宠渗透率仅为一线40%，但增速是2—3倍——这是中国宠粮市场下一阶段最大增量来源。决策特征：短视频（抖音/快手）为主、价格敏感但品牌意识快速觉醒、线下宠物店推荐权重极高。比乐的高端定位与下沉市场价格敏感度存在天然张力。但下沉市场不是只买便宜的，而是需要有人告诉我为什么贵的有道理。比乐的下沉策略不应打价格战（毛利率不允许），而应打养得好的教育战——用最透明的方式展示比乐为什么比杂牌贵30元/袋，但吃完你不用花3000元给狗看病。</w:t>
      </w:r>
    </w:p>
    <w:p>
      <w:pPr>
        <w:pStyle w:val="Heading1"/>
      </w:pPr>
      <w:r>
        <w:rPr>
          <w:color w:val="1A2744"/>
        </w:rPr>
        <w:t>五、本竞品差距对比</w:t>
      </w:r>
    </w:p>
    <w:p>
      <w:pPr>
        <w:pStyle w:val="Heading2"/>
      </w:pPr>
      <w:r>
        <w:rPr>
          <w:color w:val="1A2744"/>
        </w:rPr>
        <w:t>5.1  集团层级：福贝 vs 乖宝</w:t>
      </w:r>
    </w:p>
    <w:p>
      <w:pPr>
        <w:jc w:val="center"/>
      </w:pPr>
      <w:r>
        <w:drawing>
          <wp:inline xmlns:a="http://schemas.openxmlformats.org/drawingml/2006/main" xmlns:pic="http://schemas.openxmlformats.org/drawingml/2006/picture">
            <wp:extent cx="5760720" cy="3190553"/>
            <wp:docPr id="22" name="Picture 22"/>
            <wp:cNvGraphicFramePr>
              <a:graphicFrameLocks noChangeAspect="1"/>
            </wp:cNvGraphicFramePr>
            <a:graphic>
              <a:graphicData uri="http://schemas.openxmlformats.org/drawingml/2006/picture">
                <pic:pic>
                  <pic:nvPicPr>
                    <pic:cNvPr id="0" name="chart-radar-capability.png"/>
                    <pic:cNvPicPr/>
                  </pic:nvPicPr>
                  <pic:blipFill>
                    <a:blip r:embed="rId30"/>
                    <a:stretch>
                      <a:fillRect/>
                    </a:stretch>
                  </pic:blipFill>
                  <pic:spPr>
                    <a:xfrm>
                      <a:off x="0" y="0"/>
                      <a:ext cx="5760720" cy="3190553"/>
                    </a:xfrm>
                    <a:prstGeom prst="rect"/>
                  </pic:spPr>
                </pic:pic>
              </a:graphicData>
            </a:graphic>
          </wp:inline>
        </w:drawing>
      </w:r>
    </w:p>
    <w:p>
      <w:pPr>
        <w:jc w:val="center"/>
      </w:pPr>
      <w:r>
        <w:rPr>
          <w:i/>
          <w:color w:val="999999"/>
          <w:sz w:val="16"/>
        </w:rPr>
        <w:t>图22：福贝 vs 乖宝核心能力雷达对比 | 来源：综合评估</w:t>
      </w:r>
    </w:p>
    <w:p/>
    <w:p>
      <w:pPr>
        <w:jc w:val="center"/>
      </w:pPr>
      <w:r>
        <w:drawing>
          <wp:inline xmlns:a="http://schemas.openxmlformats.org/drawingml/2006/main" xmlns:pic="http://schemas.openxmlformats.org/drawingml/2006/picture">
            <wp:extent cx="5760720" cy="3190553"/>
            <wp:docPr id="23" name="Picture 23"/>
            <wp:cNvGraphicFramePr>
              <a:graphicFrameLocks noChangeAspect="1"/>
            </wp:cNvGraphicFramePr>
            <a:graphic>
              <a:graphicData uri="http://schemas.openxmlformats.org/drawingml/2006/picture">
                <pic:pic>
                  <pic:nvPicPr>
                    <pic:cNvPr id="0" name="chart-bar-competition.png"/>
                    <pic:cNvPicPr/>
                  </pic:nvPicPr>
                  <pic:blipFill>
                    <a:blip r:embed="rId31"/>
                    <a:stretch>
                      <a:fillRect/>
                    </a:stretch>
                  </pic:blipFill>
                  <pic:spPr>
                    <a:xfrm>
                      <a:off x="0" y="0"/>
                      <a:ext cx="5760720" cy="3190553"/>
                    </a:xfrm>
                    <a:prstGeom prst="rect"/>
                  </pic:spPr>
                </pic:pic>
              </a:graphicData>
            </a:graphic>
          </wp:inline>
        </w:drawing>
      </w:r>
    </w:p>
    <w:p>
      <w:pPr>
        <w:jc w:val="center"/>
      </w:pPr>
      <w:r>
        <w:rPr>
          <w:i/>
          <w:color w:val="999999"/>
          <w:sz w:val="16"/>
        </w:rPr>
        <w:t>图23：福贝 vs 同行竞争指标对横比 | 来源：各公司年报/招股书</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7"/>
            <w:shd w:val="clear" w:color="auto" w:fill="2C3E50"/>
          </w:tcPr>
          <w:p>
            <w:pPr>
              <w:jc w:val="center"/>
            </w:pPr>
            <w:r>
              <w:rPr>
                <w:b/>
                <w:color w:val="FFFFFF"/>
                <w:sz w:val="18"/>
              </w:rPr>
              <w:t>对比维度</w:t>
            </w:r>
          </w:p>
        </w:tc>
        <w:tc>
          <w:tcPr>
            <w:tcW w:type="dxa" w:w="2268"/>
            <w:shd w:val="clear" w:color="auto" w:fill="2C3E50"/>
          </w:tcPr>
          <w:p>
            <w:pPr>
              <w:jc w:val="center"/>
            </w:pPr>
            <w:r>
              <w:rPr>
                <w:b/>
                <w:color w:val="FFFFFF"/>
                <w:sz w:val="18"/>
              </w:rPr>
              <w:t>乖宝宠物</w:t>
            </w:r>
          </w:p>
        </w:tc>
        <w:tc>
          <w:tcPr>
            <w:tcW w:type="dxa" w:w="2268"/>
            <w:shd w:val="clear" w:color="auto" w:fill="2C3E50"/>
          </w:tcPr>
          <w:p>
            <w:pPr>
              <w:jc w:val="center"/>
            </w:pPr>
            <w:r>
              <w:rPr>
                <w:b/>
                <w:color w:val="FFFFFF"/>
                <w:sz w:val="18"/>
              </w:rPr>
              <w:t>福贝宠食</w:t>
            </w:r>
          </w:p>
        </w:tc>
        <w:tc>
          <w:tcPr>
            <w:tcW w:type="dxa" w:w="1984"/>
            <w:shd w:val="clear" w:color="auto" w:fill="2C3E50"/>
          </w:tcPr>
          <w:p>
            <w:pPr>
              <w:jc w:val="center"/>
            </w:pPr>
            <w:r>
              <w:rPr>
                <w:b/>
                <w:color w:val="FFFFFF"/>
                <w:sz w:val="18"/>
              </w:rPr>
              <w:t>差距倍数/幅度</w:t>
            </w:r>
          </w:p>
        </w:tc>
      </w:tr>
      <w:tr>
        <w:tc>
          <w:tcPr>
            <w:tcW w:type="dxa" w:w="1587"/>
            <w:shd w:val="clear" w:color="auto" w:fill="F2F6FA"/>
          </w:tcPr>
          <w:p>
            <w:r>
              <w:rPr>
                <w:sz w:val="18"/>
              </w:rPr>
              <w:t>2025营收</w:t>
            </w:r>
          </w:p>
        </w:tc>
        <w:tc>
          <w:tcPr>
            <w:tcW w:type="dxa" w:w="2268"/>
            <w:shd w:val="clear" w:color="auto" w:fill="F2F6FA"/>
          </w:tcPr>
          <w:p>
            <w:r>
              <w:rPr>
                <w:sz w:val="18"/>
              </w:rPr>
              <w:t>67.69亿元</w:t>
            </w:r>
          </w:p>
        </w:tc>
        <w:tc>
          <w:tcPr>
            <w:tcW w:type="dxa" w:w="2268"/>
            <w:shd w:val="clear" w:color="auto" w:fill="F2F6FA"/>
          </w:tcPr>
          <w:p>
            <w:r>
              <w:rPr>
                <w:sz w:val="18"/>
              </w:rPr>
              <w:t>10.21亿元</w:t>
            </w:r>
          </w:p>
        </w:tc>
        <w:tc>
          <w:tcPr>
            <w:tcW w:type="dxa" w:w="1984"/>
            <w:shd w:val="clear" w:color="auto" w:fill="F2F6FA"/>
          </w:tcPr>
          <w:p>
            <w:r>
              <w:rPr>
                <w:sz w:val="18"/>
              </w:rPr>
              <w:t>6.6倍</w:t>
            </w:r>
          </w:p>
        </w:tc>
      </w:tr>
      <w:tr>
        <w:tc>
          <w:tcPr>
            <w:tcW w:type="dxa" w:w="1587"/>
          </w:tcPr>
          <w:p>
            <w:r>
              <w:rPr>
                <w:sz w:val="18"/>
              </w:rPr>
              <w:t>2025净利润</w:t>
            </w:r>
          </w:p>
        </w:tc>
        <w:tc>
          <w:tcPr>
            <w:tcW w:type="dxa" w:w="2268"/>
          </w:tcPr>
          <w:p>
            <w:r>
              <w:rPr>
                <w:sz w:val="18"/>
              </w:rPr>
              <w:t>6.73亿元</w:t>
            </w:r>
          </w:p>
        </w:tc>
        <w:tc>
          <w:tcPr>
            <w:tcW w:type="dxa" w:w="2268"/>
          </w:tcPr>
          <w:p>
            <w:r>
              <w:rPr>
                <w:sz w:val="18"/>
              </w:rPr>
              <w:t>0.98亿元</w:t>
            </w:r>
          </w:p>
        </w:tc>
        <w:tc>
          <w:tcPr>
            <w:tcW w:type="dxa" w:w="1984"/>
          </w:tcPr>
          <w:p>
            <w:r>
              <w:rPr>
                <w:sz w:val="18"/>
              </w:rPr>
              <w:t>6.9倍</w:t>
            </w:r>
          </w:p>
        </w:tc>
      </w:tr>
      <w:tr>
        <w:tc>
          <w:tcPr>
            <w:tcW w:type="dxa" w:w="1587"/>
            <w:shd w:val="clear" w:color="auto" w:fill="F2F6FA"/>
          </w:tcPr>
          <w:p>
            <w:r>
              <w:rPr>
                <w:sz w:val="18"/>
              </w:rPr>
              <w:t>毛利率</w:t>
            </w:r>
          </w:p>
        </w:tc>
        <w:tc>
          <w:tcPr>
            <w:tcW w:type="dxa" w:w="2268"/>
            <w:shd w:val="clear" w:color="auto" w:fill="F2F6FA"/>
          </w:tcPr>
          <w:p>
            <w:r>
              <w:rPr>
                <w:sz w:val="18"/>
              </w:rPr>
              <w:t>42.5%</w:t>
            </w:r>
          </w:p>
        </w:tc>
        <w:tc>
          <w:tcPr>
            <w:tcW w:type="dxa" w:w="2268"/>
            <w:shd w:val="clear" w:color="auto" w:fill="F2F6FA"/>
          </w:tcPr>
          <w:p>
            <w:r>
              <w:rPr>
                <w:sz w:val="18"/>
              </w:rPr>
              <w:t>31.6%</w:t>
            </w:r>
          </w:p>
        </w:tc>
        <w:tc>
          <w:tcPr>
            <w:tcW w:type="dxa" w:w="1984"/>
            <w:shd w:val="clear" w:color="auto" w:fill="F2F6FA"/>
          </w:tcPr>
          <w:p>
            <w:r>
              <w:rPr>
                <w:sz w:val="18"/>
              </w:rPr>
              <w:t>差距10.9pp</w:t>
            </w:r>
          </w:p>
        </w:tc>
      </w:tr>
      <w:tr>
        <w:tc>
          <w:tcPr>
            <w:tcW w:type="dxa" w:w="1587"/>
          </w:tcPr>
          <w:p>
            <w:r>
              <w:rPr>
                <w:sz w:val="18"/>
              </w:rPr>
              <w:t>毛利率趋势</w:t>
            </w:r>
          </w:p>
        </w:tc>
        <w:tc>
          <w:tcPr>
            <w:tcW w:type="dxa" w:w="2268"/>
          </w:tcPr>
          <w:p>
            <w:r>
              <w:rPr>
                <w:sz w:val="18"/>
              </w:rPr>
              <w:t>逐年提升（+2.2pp）</w:t>
            </w:r>
          </w:p>
        </w:tc>
        <w:tc>
          <w:tcPr>
            <w:tcW w:type="dxa" w:w="2268"/>
          </w:tcPr>
          <w:p>
            <w:r>
              <w:rPr>
                <w:sz w:val="18"/>
              </w:rPr>
              <w:t>快速下降（-8.6pp）</w:t>
            </w:r>
          </w:p>
        </w:tc>
        <w:tc>
          <w:tcPr>
            <w:tcW w:type="dxa" w:w="1984"/>
          </w:tcPr>
          <w:p>
            <w:r>
              <w:rPr>
                <w:sz w:val="18"/>
              </w:rPr>
              <w:t>方向相反</w:t>
            </w:r>
          </w:p>
        </w:tc>
      </w:tr>
      <w:tr>
        <w:tc>
          <w:tcPr>
            <w:tcW w:type="dxa" w:w="1587"/>
            <w:shd w:val="clear" w:color="auto" w:fill="F2F6FA"/>
          </w:tcPr>
          <w:p>
            <w:r>
              <w:rPr>
                <w:sz w:val="18"/>
              </w:rPr>
              <w:t>自有品牌占比</w:t>
            </w:r>
          </w:p>
        </w:tc>
        <w:tc>
          <w:tcPr>
            <w:tcW w:type="dxa" w:w="2268"/>
            <w:shd w:val="clear" w:color="auto" w:fill="F2F6FA"/>
          </w:tcPr>
          <w:p>
            <w:r>
              <w:rPr>
                <w:sz w:val="18"/>
              </w:rPr>
              <w:t>67.7%</w:t>
            </w:r>
          </w:p>
        </w:tc>
        <w:tc>
          <w:tcPr>
            <w:tcW w:type="dxa" w:w="2268"/>
            <w:shd w:val="clear" w:color="auto" w:fill="F2F6FA"/>
          </w:tcPr>
          <w:p>
            <w:r>
              <w:rPr>
                <w:sz w:val="18"/>
              </w:rPr>
              <w:t>34.3%且在萎缩</w:t>
            </w:r>
          </w:p>
        </w:tc>
        <w:tc>
          <w:tcPr>
            <w:tcW w:type="dxa" w:w="1984"/>
            <w:shd w:val="clear" w:color="auto" w:fill="F2F6FA"/>
          </w:tcPr>
          <w:p>
            <w:r>
              <w:rPr>
                <w:sz w:val="18"/>
              </w:rPr>
              <w:t>结构相反</w:t>
            </w:r>
          </w:p>
        </w:tc>
      </w:tr>
      <w:tr>
        <w:tc>
          <w:tcPr>
            <w:tcW w:type="dxa" w:w="1587"/>
          </w:tcPr>
          <w:p>
            <w:r>
              <w:rPr>
                <w:sz w:val="18"/>
              </w:rPr>
              <w:t>研发投入</w:t>
            </w:r>
          </w:p>
        </w:tc>
        <w:tc>
          <w:tcPr>
            <w:tcW w:type="dxa" w:w="2268"/>
          </w:tcPr>
          <w:p>
            <w:r>
              <w:rPr>
                <w:sz w:val="18"/>
              </w:rPr>
              <w:t>3年超2亿（持续增长）</w:t>
            </w:r>
          </w:p>
        </w:tc>
        <w:tc>
          <w:tcPr>
            <w:tcW w:type="dxa" w:w="2268"/>
          </w:tcPr>
          <w:p>
            <w:r>
              <w:rPr>
                <w:sz w:val="18"/>
              </w:rPr>
              <w:t>3年降52%至1151万/年</w:t>
            </w:r>
          </w:p>
        </w:tc>
        <w:tc>
          <w:tcPr>
            <w:tcW w:type="dxa" w:w="1984"/>
          </w:tcPr>
          <w:p>
            <w:r>
              <w:rPr>
                <w:sz w:val="18"/>
              </w:rPr>
              <w:t>量级差距</w:t>
            </w:r>
          </w:p>
        </w:tc>
      </w:tr>
      <w:tr>
        <w:tc>
          <w:tcPr>
            <w:tcW w:type="dxa" w:w="1587"/>
            <w:shd w:val="clear" w:color="auto" w:fill="F2F6FA"/>
          </w:tcPr>
          <w:p>
            <w:r>
              <w:rPr>
                <w:sz w:val="18"/>
              </w:rPr>
              <w:t>经营现金流</w:t>
            </w:r>
          </w:p>
        </w:tc>
        <w:tc>
          <w:tcPr>
            <w:tcW w:type="dxa" w:w="2268"/>
            <w:shd w:val="clear" w:color="auto" w:fill="F2F6FA"/>
          </w:tcPr>
          <w:p>
            <w:r>
              <w:rPr>
                <w:sz w:val="18"/>
              </w:rPr>
              <w:t>持续为正且增长</w:t>
            </w:r>
          </w:p>
        </w:tc>
        <w:tc>
          <w:tcPr>
            <w:tcW w:type="dxa" w:w="2268"/>
            <w:shd w:val="clear" w:color="auto" w:fill="F2F6FA"/>
          </w:tcPr>
          <w:p>
            <w:r>
              <w:rPr>
                <w:sz w:val="18"/>
              </w:rPr>
              <w:t>1.87亿→0.83亿（-55.6%）</w:t>
            </w:r>
          </w:p>
        </w:tc>
        <w:tc>
          <w:tcPr>
            <w:tcW w:type="dxa" w:w="1984"/>
            <w:shd w:val="clear" w:color="auto" w:fill="F2F6FA"/>
          </w:tcPr>
          <w:p>
            <w:r>
              <w:rPr>
                <w:sz w:val="18"/>
              </w:rPr>
              <w:t>方向相反</w:t>
            </w:r>
          </w:p>
        </w:tc>
      </w:tr>
      <w:tr>
        <w:tc>
          <w:tcPr>
            <w:tcW w:type="dxa" w:w="1587"/>
          </w:tcPr>
          <w:p>
            <w:r>
              <w:rPr>
                <w:sz w:val="18"/>
              </w:rPr>
              <w:t>产能利用率</w:t>
            </w:r>
          </w:p>
        </w:tc>
        <w:tc>
          <w:tcPr>
            <w:tcW w:type="dxa" w:w="2268"/>
          </w:tcPr>
          <w:p>
            <w:r>
              <w:rPr>
                <w:sz w:val="18"/>
              </w:rPr>
              <w:t>较高</w:t>
            </w:r>
          </w:p>
        </w:tc>
        <w:tc>
          <w:tcPr>
            <w:tcW w:type="dxa" w:w="2268"/>
          </w:tcPr>
          <w:p>
            <w:r>
              <w:rPr>
                <w:sz w:val="18"/>
              </w:rPr>
              <w:t>52%且下降</w:t>
            </w:r>
          </w:p>
        </w:tc>
        <w:tc>
          <w:tcPr>
            <w:tcW w:type="dxa" w:w="1984"/>
          </w:tcPr>
          <w:p>
            <w:r>
              <w:rPr>
                <w:sz w:val="18"/>
              </w:rPr>
              <w:t>结构性差异</w:t>
            </w:r>
          </w:p>
        </w:tc>
      </w:tr>
      <w:tr>
        <w:tc>
          <w:tcPr>
            <w:tcW w:type="dxa" w:w="1587"/>
            <w:shd w:val="clear" w:color="auto" w:fill="F2F6FA"/>
          </w:tcPr>
          <w:p>
            <w:r>
              <w:rPr>
                <w:sz w:val="18"/>
              </w:rPr>
              <w:t>品牌数量</w:t>
            </w:r>
          </w:p>
        </w:tc>
        <w:tc>
          <w:tcPr>
            <w:tcW w:type="dxa" w:w="2268"/>
            <w:shd w:val="clear" w:color="auto" w:fill="F2F6FA"/>
          </w:tcPr>
          <w:p>
            <w:r>
              <w:rPr>
                <w:sz w:val="18"/>
              </w:rPr>
              <w:t>麦富迪+霸弗+奶弗+汪臻醇</w:t>
            </w:r>
          </w:p>
        </w:tc>
        <w:tc>
          <w:tcPr>
            <w:tcW w:type="dxa" w:w="2268"/>
            <w:shd w:val="clear" w:color="auto" w:fill="F2F6FA"/>
          </w:tcPr>
          <w:p>
            <w:r>
              <w:rPr>
                <w:sz w:val="18"/>
              </w:rPr>
              <w:t>比乐+爱倍+麦洛斯+品卓+安纳吉</w:t>
            </w:r>
          </w:p>
        </w:tc>
        <w:tc>
          <w:tcPr>
            <w:tcW w:type="dxa" w:w="1984"/>
            <w:shd w:val="clear" w:color="auto" w:fill="F2F6FA"/>
          </w:tcPr>
          <w:p>
            <w:r>
              <w:rPr>
                <w:sz w:val="18"/>
              </w:rPr>
              <w:t>多但无协同</w:t>
            </w:r>
          </w:p>
        </w:tc>
      </w:tr>
      <w:tr>
        <w:tc>
          <w:tcPr>
            <w:tcW w:type="dxa" w:w="1587"/>
          </w:tcPr>
          <w:p>
            <w:r>
              <w:rPr>
                <w:sz w:val="18"/>
              </w:rPr>
              <w:t>制造能力</w:t>
            </w:r>
          </w:p>
        </w:tc>
        <w:tc>
          <w:tcPr>
            <w:tcW w:type="dxa" w:w="2268"/>
          </w:tcPr>
          <w:p>
            <w:r>
              <w:rPr>
                <w:sz w:val="18"/>
              </w:rPr>
              <w:t>多基地（80分）</w:t>
            </w:r>
          </w:p>
        </w:tc>
        <w:tc>
          <w:tcPr>
            <w:tcW w:type="dxa" w:w="2268"/>
          </w:tcPr>
          <w:p>
            <w:r>
              <w:rPr>
                <w:sz w:val="18"/>
              </w:rPr>
              <w:t>7大基地6产线（90分）</w:t>
            </w:r>
          </w:p>
        </w:tc>
        <w:tc>
          <w:tcPr>
            <w:tcW w:type="dxa" w:w="1984"/>
          </w:tcPr>
          <w:p>
            <w:r>
              <w:rPr>
                <w:sz w:val="18"/>
              </w:rPr>
              <w:t>福贝领先</w:t>
            </w:r>
          </w:p>
        </w:tc>
      </w:tr>
    </w:tbl>
    <w:p/>
    <w:p>
      <w:r>
        <w:rPr>
          <w:b/>
          <w:color w:val="1A1A17"/>
          <w:sz w:val="21"/>
        </w:rPr>
        <w:t>▎ 差距本质：</w:t>
      </w:r>
      <w:r>
        <w:rPr>
          <w:color w:val="1A1A17"/>
          <w:sz w:val="21"/>
        </w:rPr>
        <w:t>福贝和乖宝的差距不在制造——在制造这个维度上福贝甚至是领先的。差距在品牌的系统化建设和财务结构的健康度。乖宝是高原结构——品牌、渠道、研发、盈利五个维度均在80—90分；福贝是单峰结构——制造90分一枝独秀，品牌和渠道在40—50分徘徊。制造强是必要条件，品牌强才是充分条件。乖宝用与福贝同级别的制造能力、但高出50分的品牌能力和40分的渠道能力，实现了6.6倍于福贝的营收。这就是品牌杠杆的真实证明。</w:t>
      </w:r>
    </w:p>
    <w:p>
      <w:pPr>
        <w:pStyle w:val="Heading2"/>
      </w:pPr>
      <w:r>
        <w:rPr>
          <w:color w:val="1A2744"/>
        </w:rPr>
        <w:t>5.2  品牌层级：比乐 vs 麦富迪</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7"/>
            <w:shd w:val="clear" w:color="auto" w:fill="2C3E50"/>
          </w:tcPr>
          <w:p>
            <w:pPr>
              <w:jc w:val="center"/>
            </w:pPr>
            <w:r>
              <w:rPr>
                <w:b/>
                <w:color w:val="FFFFFF"/>
                <w:sz w:val="18"/>
              </w:rPr>
              <w:t>对比维度</w:t>
            </w:r>
          </w:p>
        </w:tc>
        <w:tc>
          <w:tcPr>
            <w:tcW w:type="dxa" w:w="1984"/>
            <w:shd w:val="clear" w:color="auto" w:fill="2C3E50"/>
          </w:tcPr>
          <w:p>
            <w:pPr>
              <w:jc w:val="center"/>
            </w:pPr>
            <w:r>
              <w:rPr>
                <w:b/>
                <w:color w:val="FFFFFF"/>
                <w:sz w:val="18"/>
              </w:rPr>
              <w:t>麦富迪</w:t>
            </w:r>
          </w:p>
        </w:tc>
        <w:tc>
          <w:tcPr>
            <w:tcW w:type="dxa" w:w="2154"/>
            <w:shd w:val="clear" w:color="auto" w:fill="2C3E50"/>
          </w:tcPr>
          <w:p>
            <w:pPr>
              <w:jc w:val="center"/>
            </w:pPr>
            <w:r>
              <w:rPr>
                <w:b/>
                <w:color w:val="FFFFFF"/>
                <w:sz w:val="18"/>
              </w:rPr>
              <w:t>比乐</w:t>
            </w:r>
          </w:p>
        </w:tc>
        <w:tc>
          <w:tcPr>
            <w:tcW w:type="dxa" w:w="2948"/>
            <w:shd w:val="clear" w:color="auto" w:fill="2C3E50"/>
          </w:tcPr>
          <w:p>
            <w:pPr>
              <w:jc w:val="center"/>
            </w:pPr>
            <w:r>
              <w:rPr>
                <w:b/>
                <w:color w:val="FFFFFF"/>
                <w:sz w:val="18"/>
              </w:rPr>
              <w:t>差距诊断</w:t>
            </w:r>
          </w:p>
        </w:tc>
      </w:tr>
      <w:tr>
        <w:tc>
          <w:tcPr>
            <w:tcW w:type="dxa" w:w="1587"/>
            <w:shd w:val="clear" w:color="auto" w:fill="F2F6FA"/>
          </w:tcPr>
          <w:p>
            <w:r>
              <w:rPr>
                <w:sz w:val="18"/>
              </w:rPr>
              <w:t>品牌排名</w:t>
            </w:r>
          </w:p>
        </w:tc>
        <w:tc>
          <w:tcPr>
            <w:tcW w:type="dxa" w:w="1984"/>
            <w:shd w:val="clear" w:color="auto" w:fill="F2F6FA"/>
          </w:tcPr>
          <w:p>
            <w:r>
              <w:rPr>
                <w:sz w:val="18"/>
              </w:rPr>
              <w:t>欧睿认证中国第一</w:t>
            </w:r>
          </w:p>
        </w:tc>
        <w:tc>
          <w:tcPr>
            <w:tcW w:type="dxa" w:w="2154"/>
            <w:shd w:val="clear" w:color="auto" w:fill="F2F6FA"/>
          </w:tcPr>
          <w:p>
            <w:r>
              <w:rPr>
                <w:sz w:val="18"/>
              </w:rPr>
              <w:t>三大消费者榜单均未进前十</w:t>
            </w:r>
          </w:p>
        </w:tc>
        <w:tc>
          <w:tcPr>
            <w:tcW w:type="dxa" w:w="2948"/>
            <w:shd w:val="clear" w:color="auto" w:fill="F2F6FA"/>
          </w:tcPr>
          <w:p>
            <w:r>
              <w:rPr>
                <w:sz w:val="18"/>
              </w:rPr>
              <w:t>品牌认知断层</w:t>
            </w:r>
          </w:p>
        </w:tc>
      </w:tr>
      <w:tr>
        <w:tc>
          <w:tcPr>
            <w:tcW w:type="dxa" w:w="1587"/>
          </w:tcPr>
          <w:p>
            <w:r>
              <w:rPr>
                <w:sz w:val="18"/>
              </w:rPr>
              <w:t>品牌营收</w:t>
            </w:r>
          </w:p>
        </w:tc>
        <w:tc>
          <w:tcPr>
            <w:tcW w:type="dxa" w:w="1984"/>
          </w:tcPr>
          <w:p>
            <w:r>
              <w:rPr>
                <w:sz w:val="18"/>
              </w:rPr>
              <w:t>全平台年销超20亿</w:t>
            </w:r>
          </w:p>
        </w:tc>
        <w:tc>
          <w:tcPr>
            <w:tcW w:type="dxa" w:w="2154"/>
          </w:tcPr>
          <w:p>
            <w:r>
              <w:rPr>
                <w:sz w:val="18"/>
              </w:rPr>
              <w:t>3.33亿且连续三年下滑</w:t>
            </w:r>
          </w:p>
        </w:tc>
        <w:tc>
          <w:tcPr>
            <w:tcW w:type="dxa" w:w="2948"/>
          </w:tcPr>
          <w:p>
            <w:r>
              <w:rPr>
                <w:sz w:val="18"/>
              </w:rPr>
              <w:t>6倍差距+方向相反</w:t>
            </w:r>
          </w:p>
        </w:tc>
      </w:tr>
      <w:tr>
        <w:tc>
          <w:tcPr>
            <w:tcW w:type="dxa" w:w="1587"/>
            <w:shd w:val="clear" w:color="auto" w:fill="F2F6FA"/>
          </w:tcPr>
          <w:p>
            <w:r>
              <w:rPr>
                <w:sz w:val="18"/>
              </w:rPr>
              <w:t>心智等式</w:t>
            </w:r>
          </w:p>
        </w:tc>
        <w:tc>
          <w:tcPr>
            <w:tcW w:type="dxa" w:w="1984"/>
            <w:shd w:val="clear" w:color="auto" w:fill="F2F6FA"/>
          </w:tcPr>
          <w:p>
            <w:r>
              <w:rPr>
                <w:sz w:val="18"/>
              </w:rPr>
              <w:t>中国第一清晰明确</w:t>
            </w:r>
          </w:p>
        </w:tc>
        <w:tc>
          <w:tcPr>
            <w:tcW w:type="dxa" w:w="2154"/>
            <w:shd w:val="clear" w:color="auto" w:fill="F2F6FA"/>
          </w:tcPr>
          <w:p>
            <w:r>
              <w:rPr>
                <w:sz w:val="18"/>
              </w:rPr>
              <w:t>分阶营养=体系非锚点</w:t>
            </w:r>
          </w:p>
        </w:tc>
        <w:tc>
          <w:tcPr>
            <w:tcW w:type="dxa" w:w="2948"/>
            <w:shd w:val="clear" w:color="auto" w:fill="F2F6FA"/>
          </w:tcPr>
          <w:p>
            <w:r>
              <w:rPr>
                <w:sz w:val="18"/>
              </w:rPr>
              <w:t>认知穿透力差</w:t>
            </w:r>
          </w:p>
        </w:tc>
      </w:tr>
      <w:tr>
        <w:tc>
          <w:tcPr>
            <w:tcW w:type="dxa" w:w="1587"/>
          </w:tcPr>
          <w:p>
            <w:r>
              <w:rPr>
                <w:sz w:val="18"/>
              </w:rPr>
              <w:t>品牌资产重复性</w:t>
            </w:r>
          </w:p>
        </w:tc>
        <w:tc>
          <w:tcPr>
            <w:tcW w:type="dxa" w:w="1984"/>
          </w:tcPr>
          <w:p>
            <w:r>
              <w:rPr>
                <w:sz w:val="18"/>
              </w:rPr>
              <w:t>每场直播/短视频/主图都有中国第一</w:t>
            </w:r>
          </w:p>
        </w:tc>
        <w:tc>
          <w:tcPr>
            <w:tcW w:type="dxa" w:w="2154"/>
          </w:tcPr>
          <w:p>
            <w:r>
              <w:rPr>
                <w:sz w:val="18"/>
              </w:rPr>
              <w:t>SGS+区块链从未系统化传播</w:t>
            </w:r>
          </w:p>
        </w:tc>
        <w:tc>
          <w:tcPr>
            <w:tcW w:type="dxa" w:w="2948"/>
          </w:tcPr>
          <w:p>
            <w:r>
              <w:rPr>
                <w:sz w:val="18"/>
              </w:rPr>
              <w:t>资产闲置</w:t>
            </w:r>
          </w:p>
        </w:tc>
      </w:tr>
      <w:tr>
        <w:tc>
          <w:tcPr>
            <w:tcW w:type="dxa" w:w="1587"/>
            <w:shd w:val="clear" w:color="auto" w:fill="F2F6FA"/>
          </w:tcPr>
          <w:p>
            <w:r>
              <w:rPr>
                <w:sz w:val="18"/>
              </w:rPr>
              <w:t>内容生态</w:t>
            </w:r>
          </w:p>
        </w:tc>
        <w:tc>
          <w:tcPr>
            <w:tcW w:type="dxa" w:w="1984"/>
            <w:shd w:val="clear" w:color="auto" w:fill="F2F6FA"/>
          </w:tcPr>
          <w:p>
            <w:r>
              <w:rPr>
                <w:sz w:val="18"/>
              </w:rPr>
              <w:t>全平台成熟运营</w:t>
            </w:r>
          </w:p>
        </w:tc>
        <w:tc>
          <w:tcPr>
            <w:tcW w:type="dxa" w:w="2154"/>
            <w:shd w:val="clear" w:color="auto" w:fill="F2F6FA"/>
          </w:tcPr>
          <w:p>
            <w:r>
              <w:rPr>
                <w:sz w:val="18"/>
              </w:rPr>
              <w:t>抖音缺种草/小红书PR逻辑/B站空白</w:t>
            </w:r>
          </w:p>
        </w:tc>
        <w:tc>
          <w:tcPr>
            <w:tcW w:type="dxa" w:w="2948"/>
            <w:shd w:val="clear" w:color="auto" w:fill="F2F6FA"/>
          </w:tcPr>
          <w:p>
            <w:r>
              <w:rPr>
                <w:sz w:val="18"/>
              </w:rPr>
              <w:t>内容策略缺位</w:t>
            </w:r>
          </w:p>
        </w:tc>
      </w:tr>
      <w:tr>
        <w:tc>
          <w:tcPr>
            <w:tcW w:type="dxa" w:w="1587"/>
          </w:tcPr>
          <w:p>
            <w:r>
              <w:rPr>
                <w:sz w:val="18"/>
              </w:rPr>
              <w:t>人群策略</w:t>
            </w:r>
          </w:p>
        </w:tc>
        <w:tc>
          <w:tcPr>
            <w:tcW w:type="dxa" w:w="1984"/>
          </w:tcPr>
          <w:p>
            <w:r>
              <w:rPr>
                <w:sz w:val="18"/>
              </w:rPr>
              <w:t>全人群覆盖,从Z世代到高端</w:t>
            </w:r>
          </w:p>
        </w:tc>
        <w:tc>
          <w:tcPr>
            <w:tcW w:type="dxa" w:w="2154"/>
          </w:tcPr>
          <w:p>
            <w:r>
              <w:rPr>
                <w:sz w:val="18"/>
              </w:rPr>
              <w:t>无明确人群优先级</w:t>
            </w:r>
          </w:p>
        </w:tc>
        <w:tc>
          <w:tcPr>
            <w:tcW w:type="dxa" w:w="2948"/>
          </w:tcPr>
          <w:p>
            <w:r>
              <w:rPr>
                <w:sz w:val="18"/>
              </w:rPr>
              <w:t>火力分散</w:t>
            </w:r>
          </w:p>
        </w:tc>
      </w:tr>
      <w:tr>
        <w:tc>
          <w:tcPr>
            <w:tcW w:type="dxa" w:w="1587"/>
            <w:shd w:val="clear" w:color="auto" w:fill="F2F6FA"/>
          </w:tcPr>
          <w:p>
            <w:r>
              <w:rPr>
                <w:sz w:val="18"/>
              </w:rPr>
              <w:t>营销媒介覆盖</w:t>
            </w:r>
          </w:p>
        </w:tc>
        <w:tc>
          <w:tcPr>
            <w:tcW w:type="dxa" w:w="1984"/>
            <w:shd w:val="clear" w:color="auto" w:fill="F2F6FA"/>
          </w:tcPr>
          <w:p>
            <w:r>
              <w:rPr>
                <w:sz w:val="18"/>
              </w:rPr>
              <w:t>梯广+地铁+户外+机场全维度</w:t>
            </w:r>
          </w:p>
        </w:tc>
        <w:tc>
          <w:tcPr>
            <w:tcW w:type="dxa" w:w="2154"/>
            <w:shd w:val="clear" w:color="auto" w:fill="F2F6FA"/>
          </w:tcPr>
          <w:p>
            <w:r>
              <w:rPr>
                <w:sz w:val="18"/>
              </w:rPr>
              <w:t>仅上海地铁公益广告单点</w:t>
            </w:r>
          </w:p>
        </w:tc>
        <w:tc>
          <w:tcPr>
            <w:tcW w:type="dxa" w:w="2948"/>
            <w:shd w:val="clear" w:color="auto" w:fill="F2F6FA"/>
          </w:tcPr>
          <w:p>
            <w:r>
              <w:rPr>
                <w:sz w:val="18"/>
              </w:rPr>
              <w:t>媒介投入差距巨大</w:t>
            </w:r>
          </w:p>
        </w:tc>
      </w:tr>
      <w:tr>
        <w:tc>
          <w:tcPr>
            <w:tcW w:type="dxa" w:w="1587"/>
          </w:tcPr>
          <w:p>
            <w:r>
              <w:rPr>
                <w:sz w:val="18"/>
              </w:rPr>
              <w:t>生意渠道壁垒</w:t>
            </w:r>
          </w:p>
        </w:tc>
        <w:tc>
          <w:tcPr>
            <w:tcW w:type="dxa" w:w="1984"/>
          </w:tcPr>
          <w:p>
            <w:r>
              <w:rPr>
                <w:sz w:val="18"/>
              </w:rPr>
              <w:t>宠物店+商超+线上全覆盖</w:t>
            </w:r>
          </w:p>
        </w:tc>
        <w:tc>
          <w:tcPr>
            <w:tcW w:type="dxa" w:w="2154"/>
          </w:tcPr>
          <w:p>
            <w:r>
              <w:rPr>
                <w:sz w:val="18"/>
              </w:rPr>
              <w:t>宠物店有但浅/商超零/医院零</w:t>
            </w:r>
          </w:p>
        </w:tc>
        <w:tc>
          <w:tcPr>
            <w:tcW w:type="dxa" w:w="2948"/>
          </w:tcPr>
          <w:p>
            <w:r>
              <w:rPr>
                <w:sz w:val="18"/>
              </w:rPr>
              <w:t>广而不深</w:t>
            </w:r>
          </w:p>
        </w:tc>
      </w:tr>
      <w:tr>
        <w:tc>
          <w:tcPr>
            <w:tcW w:type="dxa" w:w="1587"/>
            <w:shd w:val="clear" w:color="auto" w:fill="F2F6FA"/>
          </w:tcPr>
          <w:p>
            <w:r>
              <w:rPr>
                <w:sz w:val="18"/>
              </w:rPr>
              <w:t>品牌投入效率</w:t>
            </w:r>
          </w:p>
        </w:tc>
        <w:tc>
          <w:tcPr>
            <w:tcW w:type="dxa" w:w="1984"/>
            <w:shd w:val="clear" w:color="auto" w:fill="F2F6FA"/>
          </w:tcPr>
          <w:p>
            <w:r>
              <w:rPr>
                <w:sz w:val="18"/>
              </w:rPr>
              <w:t>投入→增长正向循环</w:t>
            </w:r>
          </w:p>
        </w:tc>
        <w:tc>
          <w:tcPr>
            <w:tcW w:type="dxa" w:w="2154"/>
            <w:shd w:val="clear" w:color="auto" w:fill="F2F6FA"/>
          </w:tcPr>
          <w:p>
            <w:r>
              <w:rPr>
                <w:sz w:val="18"/>
              </w:rPr>
              <w:t>1.33亿营销费→品牌收入反而降18.6%</w:t>
            </w:r>
          </w:p>
        </w:tc>
        <w:tc>
          <w:tcPr>
            <w:tcW w:type="dxa" w:w="2948"/>
            <w:shd w:val="clear" w:color="auto" w:fill="F2F6FA"/>
          </w:tcPr>
          <w:p>
            <w:r>
              <w:rPr>
                <w:sz w:val="18"/>
              </w:rPr>
              <w:t>营销ROI恶化</w:t>
            </w:r>
          </w:p>
        </w:tc>
      </w:tr>
    </w:tbl>
    <w:p/>
    <w:p>
      <w:r>
        <w:rPr>
          <w:b/>
          <w:color w:val="1A1A17"/>
          <w:sz w:val="21"/>
        </w:rPr>
        <w:t>▎ 比乐 vs 麦富迪差距的本质：</w:t>
      </w:r>
      <w:r>
        <w:rPr>
          <w:color w:val="1A1A17"/>
          <w:sz w:val="21"/>
        </w:rPr>
        <w:t>不是资源差距（麦富迪背后有乖宝集团，比乐背后也有福贝集团），是品牌能力的系统性差距——品牌资产的构建、管理、传播和变现的全链条能力。麦富迪把欧睿认证变成了全触点标签，比乐把SGS月检藏在官网。麦富迪的【厂开玩】做了十年积累成IP，比乐的【比生老友】做了一次就断了。差距的缩小不来自于更多预算——1.33亿已经够多——而来自于把现有资产系统化地翻译成能在每个渠道被消费者感知的内容。</w:t>
      </w:r>
    </w:p>
    <w:p>
      <w:pPr>
        <w:pStyle w:val="Heading2"/>
      </w:pPr>
      <w:r>
        <w:rPr>
          <w:color w:val="1A2744"/>
        </w:rPr>
        <w:t>5.3  比乐 vs 其他竞品快速定位</w:t>
      </w:r>
    </w:p>
    <w:p>
      <w:r>
        <w:rPr>
          <w:color w:val="1A1A17"/>
          <w:sz w:val="21"/>
        </w:rPr>
        <w:t>vs 伯纳天纯：比乐在品控透明度（SGS月检+区块链）上领先一个身位，在老年犬赛道上具备品类先发优势，但在品牌信任背书（伯纳天纯有LVMH系投资）和线下高端渠道覆盖上落后。vs 蓝氏/鲜朗：比乐产品矩阵更完整、品控体系更强，但在品类锚点（冻干=鲜朗、鲜肉粮=蓝氏）和线上内容生态上严重落后。vs 皇家：比乐在性价比和本土化上完胜，在品质透明度上领先，但在专业渠道壁垒（兽医推荐）和处方粮专家信任上存在不可逾越的差距。</w:t>
      </w:r>
    </w:p>
    <w:p>
      <w:pPr>
        <w:pStyle w:val="Heading1"/>
      </w:pPr>
      <w:r>
        <w:rPr>
          <w:color w:val="1A2744"/>
        </w:rPr>
        <w:t>六、燃创咨询切入点</w:t>
      </w:r>
    </w:p>
    <w:p>
      <w:r>
        <w:rPr>
          <w:b/>
          <w:color w:val="1A1A17"/>
          <w:sz w:val="21"/>
        </w:rPr>
        <w:t>【IPO窗口期定位】</w:t>
      </w:r>
      <w:r>
        <w:rPr>
          <w:color w:val="1A1A17"/>
          <w:sz w:val="21"/>
        </w:rPr>
        <w:t>福贝正处于港股IPO审核窗口期，品牌战略梳理是拟上市企业最刚性的咨询需求之一。招股书中的行业地位、品牌优势、增长策略章节，本质上是在向投资者讲述品牌故事。而本报告揭示的核心发现——比乐产品力强但品牌力弱、分阶营养有差异化但未转化为认知、品控最透明但消费者不知道——恰好构成了IPO品牌叙事的核心素材和咨询介入点。</w:t>
      </w:r>
    </w:p>
    <w:p>
      <w:pPr>
        <w:pStyle w:val="Heading2"/>
      </w:pPr>
      <w:r>
        <w:rPr>
          <w:color w:val="1A2744"/>
        </w:rPr>
        <w:t>6.1  品牌层（比乐）：五条核心策略</w:t>
      </w:r>
    </w:p>
    <w:p>
      <w:r>
        <w:rPr>
          <w:b/>
          <w:color w:val="1A1A17"/>
          <w:sz w:val="21"/>
        </w:rPr>
        <w:t>▎ 策略一：从制造叙事转向消费叙事。</w:t>
      </w:r>
      <w:r>
        <w:rPr>
          <w:color w:val="1A1A17"/>
          <w:sz w:val="21"/>
        </w:rPr>
        <w:t>这是最根本的转变。比乐目前的品牌叙事完全围绕我们有什么展开——自有工厂、欧盟认证、SGS月检、分阶营养体系。消费者想听的是你能给我的狗带来什么。SGS月检+区块链存证应翻译为【每一粒粮都能追溯到源头，比你吃的饭还透明】，自有工厂应翻译为【从配方到出厂全程自控，不是贴牌】。</w:t>
      </w:r>
    </w:p>
    <w:p>
      <w:r>
        <w:rPr>
          <w:b/>
          <w:color w:val="1A1A17"/>
          <w:sz w:val="21"/>
        </w:rPr>
        <w:t>▎ 策略二：找到心智等式——老年犬分阶粮=比乐。</w:t>
      </w:r>
      <w:r>
        <w:rPr>
          <w:color w:val="1A1A17"/>
          <w:sz w:val="21"/>
        </w:rPr>
        <w:t>分阶营养是一个十年才能建成的品类教育工程，但比乐没有十年时间。建议将分阶营养体系中最具穿透力的单品聚焦——老年犬三阶分龄方案。在一个足够细但又足够痛（怕宠物老去）的场景上建立第一认知。</w:t>
      </w:r>
    </w:p>
    <w:p>
      <w:r>
        <w:rPr>
          <w:b/>
          <w:color w:val="1A1A17"/>
          <w:sz w:val="21"/>
        </w:rPr>
        <w:t>▎ 策略三：品控透明度成为传播核心武器。</w:t>
      </w:r>
      <w:r>
        <w:rPr>
          <w:color w:val="1A1A17"/>
          <w:sz w:val="21"/>
        </w:rPr>
        <w:t>SGS月检+区块链存证是行业最透明的品质体系。建议用最透明的国产宠粮取代中高端分阶营养作为品牌定位——食品安全焦虑是当前宠粮消费的第一决策因素，最透明比中高端有更强的购买驱动力。</w:t>
      </w:r>
    </w:p>
    <w:p>
      <w:r>
        <w:rPr>
          <w:b/>
          <w:color w:val="1A1A17"/>
          <w:sz w:val="21"/>
        </w:rPr>
        <w:t>▎ 策略四：收窄品牌矩阵。</w:t>
      </w:r>
      <w:r>
        <w:rPr>
          <w:color w:val="1A1A17"/>
          <w:sz w:val="21"/>
        </w:rPr>
        <w:t>爱倍、麦洛斯、品卓、安纳吉——这些品牌除了分散比乐资源，没有产生任何边际效益。建议砍掉或无限期搁置，把全部品牌资源集中到比乐一个品牌。第十大本土品牌的当务之急不是再做第十一，是把第十往前推。</w:t>
      </w:r>
    </w:p>
    <w:p>
      <w:r>
        <w:rPr>
          <w:b/>
          <w:color w:val="1A1A17"/>
          <w:sz w:val="21"/>
        </w:rPr>
        <w:t>▎ 策略五：内容策略根本性重构。</w:t>
      </w:r>
      <w:r>
        <w:rPr>
          <w:color w:val="1A1A17"/>
          <w:sz w:val="21"/>
        </w:rPr>
        <w:t>比乐花1.33亿营销费但消费者记不住——问题不在投放量而在内容逻辑。建议三个方向重构：①科学可视化——把研究成果转化为消费者看得懂的内容（如2400次随机抽检做成每月检测报告可视化）；②溯源体验化——让消费者在手机上看到每批原料来源和检测结果；③选择简化——在信息过载的宠粮市场，一个明确的喂养方案胜过十个产品卖点。</w:t>
      </w:r>
    </w:p>
    <w:p>
      <w:pPr>
        <w:pStyle w:val="Heading2"/>
      </w:pPr>
      <w:r>
        <w:rPr>
          <w:color w:val="1A2744"/>
        </w:rPr>
        <w:t>6.2  集团层（福贝）：战略再平衡议题</w:t>
      </w:r>
    </w:p>
    <w:p>
      <w:r>
        <w:rPr>
          <w:color w:val="1A1A17"/>
          <w:sz w:val="21"/>
        </w:rPr>
        <w:t>如果咨询范围扩展到福贝集团层面，核心策略议题包括：</w:t>
      </w:r>
    </w:p>
    <w:p>
      <w:r>
        <w:rPr>
          <w:color w:val="1A1A17"/>
          <w:sz w:val="21"/>
        </w:rPr>
        <w:t>①ODM与OBM双轮驱动的战略再平衡——当前双轮正在变成单轮（ODM），需要明确是否坚持双轮战略以及如何重建品牌增长引擎。</w:t>
      </w:r>
    </w:p>
    <w:p>
      <w:r>
        <w:rPr>
          <w:color w:val="1A1A17"/>
          <w:sz w:val="21"/>
        </w:rPr>
        <w:t>②IPO募资用途与增长故事的设计——5.68亿募资中仅5065万用于研发，大额资金（4.63亿）投向产能扩张和仓储，在当前52%产能利用率的背景下，这笔资金的使用逻辑需要重新论证。如果希望获得消费品牌估值而非制造企业估值，资金配置应向品牌和研发倾斜。</w:t>
      </w:r>
    </w:p>
    <w:p>
      <w:r>
        <w:rPr>
          <w:color w:val="1A1A17"/>
          <w:sz w:val="21"/>
        </w:rPr>
        <w:t>③海外市场拓展策略——利用已建立的全球客户网络（服务超1000个品牌客户），寻找ODM出口和品牌出海的双重机会。</w:t>
      </w:r>
    </w:p>
    <w:p>
      <w:pPr>
        <w:pStyle w:val="Heading2"/>
      </w:pPr>
      <w:r>
        <w:rPr>
          <w:color w:val="1A2744"/>
        </w:rPr>
        <w:t>6.3  建议的咨询项目范围与结构</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2C3E50"/>
          </w:tcPr>
          <w:p>
            <w:pPr>
              <w:jc w:val="center"/>
            </w:pPr>
            <w:r>
              <w:rPr>
                <w:b/>
                <w:color w:val="FFFFFF"/>
                <w:sz w:val="18"/>
              </w:rPr>
              <w:t>模块</w:t>
            </w:r>
          </w:p>
        </w:tc>
        <w:tc>
          <w:tcPr>
            <w:tcW w:type="dxa" w:w="1417"/>
            <w:shd w:val="clear" w:color="auto" w:fill="2C3E50"/>
          </w:tcPr>
          <w:p>
            <w:pPr>
              <w:jc w:val="center"/>
            </w:pPr>
            <w:r>
              <w:rPr>
                <w:b/>
                <w:color w:val="FFFFFF"/>
                <w:sz w:val="18"/>
              </w:rPr>
              <w:t>范围</w:t>
            </w:r>
          </w:p>
        </w:tc>
        <w:tc>
          <w:tcPr>
            <w:tcW w:type="dxa" w:w="3969"/>
            <w:shd w:val="clear" w:color="auto" w:fill="2C3E50"/>
          </w:tcPr>
          <w:p>
            <w:pPr>
              <w:jc w:val="center"/>
            </w:pPr>
            <w:r>
              <w:rPr>
                <w:b/>
                <w:color w:val="FFFFFF"/>
                <w:sz w:val="18"/>
              </w:rPr>
              <w:t>核心交付</w:t>
            </w:r>
          </w:p>
        </w:tc>
        <w:tc>
          <w:tcPr>
            <w:tcW w:type="dxa" w:w="1417"/>
            <w:shd w:val="clear" w:color="auto" w:fill="2C3E50"/>
          </w:tcPr>
          <w:p>
            <w:pPr>
              <w:jc w:val="center"/>
            </w:pPr>
            <w:r>
              <w:rPr>
                <w:b/>
                <w:color w:val="FFFFFF"/>
                <w:sz w:val="18"/>
              </w:rPr>
              <w:t>建议优先级</w:t>
            </w:r>
          </w:p>
        </w:tc>
      </w:tr>
      <w:tr>
        <w:tc>
          <w:tcPr>
            <w:tcW w:type="dxa" w:w="1701"/>
            <w:shd w:val="clear" w:color="auto" w:fill="F2F6FA"/>
          </w:tcPr>
          <w:p>
            <w:r>
              <w:rPr>
                <w:sz w:val="18"/>
              </w:rPr>
              <w:t>品牌定位重塑</w:t>
            </w:r>
          </w:p>
        </w:tc>
        <w:tc>
          <w:tcPr>
            <w:tcW w:type="dxa" w:w="1417"/>
            <w:shd w:val="clear" w:color="auto" w:fill="F2F6FA"/>
          </w:tcPr>
          <w:p>
            <w:r>
              <w:rPr>
                <w:sz w:val="18"/>
              </w:rPr>
              <w:t>比乐品牌</w:t>
            </w:r>
          </w:p>
        </w:tc>
        <w:tc>
          <w:tcPr>
            <w:tcW w:type="dxa" w:w="3969"/>
            <w:shd w:val="clear" w:color="auto" w:fill="F2F6FA"/>
          </w:tcPr>
          <w:p>
            <w:r>
              <w:rPr>
                <w:sz w:val="18"/>
              </w:rPr>
              <w:t>品牌定位、心智等式、叙事体系</w:t>
            </w:r>
          </w:p>
        </w:tc>
        <w:tc>
          <w:tcPr>
            <w:tcW w:type="dxa" w:w="1417"/>
            <w:shd w:val="clear" w:color="auto" w:fill="F2F6FA"/>
          </w:tcPr>
          <w:p>
            <w:r>
              <w:rPr>
                <w:sz w:val="18"/>
              </w:rPr>
              <w:t>★★★★★</w:t>
            </w:r>
          </w:p>
        </w:tc>
      </w:tr>
      <w:tr>
        <w:tc>
          <w:tcPr>
            <w:tcW w:type="dxa" w:w="1701"/>
          </w:tcPr>
          <w:p>
            <w:r>
              <w:rPr>
                <w:sz w:val="18"/>
              </w:rPr>
              <w:t>内容与渠道策略</w:t>
            </w:r>
          </w:p>
        </w:tc>
        <w:tc>
          <w:tcPr>
            <w:tcW w:type="dxa" w:w="1417"/>
          </w:tcPr>
          <w:p>
            <w:r>
              <w:rPr>
                <w:sz w:val="18"/>
              </w:rPr>
              <w:t>比乐品牌</w:t>
            </w:r>
          </w:p>
        </w:tc>
        <w:tc>
          <w:tcPr>
            <w:tcW w:type="dxa" w:w="3969"/>
          </w:tcPr>
          <w:p>
            <w:r>
              <w:rPr>
                <w:sz w:val="18"/>
              </w:rPr>
              <w:t>四渠内容模板、KOL/KOC矩阵、电商主图</w:t>
            </w:r>
          </w:p>
        </w:tc>
        <w:tc>
          <w:tcPr>
            <w:tcW w:type="dxa" w:w="1417"/>
          </w:tcPr>
          <w:p>
            <w:r>
              <w:rPr>
                <w:sz w:val="18"/>
              </w:rPr>
              <w:t>★★★★☆</w:t>
            </w:r>
          </w:p>
        </w:tc>
      </w:tr>
      <w:tr>
        <w:tc>
          <w:tcPr>
            <w:tcW w:type="dxa" w:w="1701"/>
            <w:shd w:val="clear" w:color="auto" w:fill="F2F6FA"/>
          </w:tcPr>
          <w:p>
            <w:r>
              <w:rPr>
                <w:sz w:val="18"/>
              </w:rPr>
              <w:t>IPO品牌叙事</w:t>
            </w:r>
          </w:p>
        </w:tc>
        <w:tc>
          <w:tcPr>
            <w:tcW w:type="dxa" w:w="1417"/>
            <w:shd w:val="clear" w:color="auto" w:fill="F2F6FA"/>
          </w:tcPr>
          <w:p>
            <w:r>
              <w:rPr>
                <w:sz w:val="18"/>
              </w:rPr>
              <w:t>福贝集团</w:t>
            </w:r>
          </w:p>
        </w:tc>
        <w:tc>
          <w:tcPr>
            <w:tcW w:type="dxa" w:w="3969"/>
            <w:shd w:val="clear" w:color="auto" w:fill="F2F6FA"/>
          </w:tcPr>
          <w:p>
            <w:r>
              <w:rPr>
                <w:sz w:val="18"/>
              </w:rPr>
              <w:t>招股书品牌章节优化、投资者沟通材料</w:t>
            </w:r>
          </w:p>
        </w:tc>
        <w:tc>
          <w:tcPr>
            <w:tcW w:type="dxa" w:w="1417"/>
            <w:shd w:val="clear" w:color="auto" w:fill="F2F6FA"/>
          </w:tcPr>
          <w:p>
            <w:r>
              <w:rPr>
                <w:sz w:val="18"/>
              </w:rPr>
              <w:t>★★★★★</w:t>
            </w:r>
          </w:p>
        </w:tc>
      </w:tr>
      <w:tr>
        <w:tc>
          <w:tcPr>
            <w:tcW w:type="dxa" w:w="1701"/>
          </w:tcPr>
          <w:p>
            <w:r>
              <w:rPr>
                <w:sz w:val="18"/>
              </w:rPr>
              <w:t>产品组合优化</w:t>
            </w:r>
          </w:p>
        </w:tc>
        <w:tc>
          <w:tcPr>
            <w:tcW w:type="dxa" w:w="1417"/>
          </w:tcPr>
          <w:p>
            <w:r>
              <w:rPr>
                <w:sz w:val="18"/>
              </w:rPr>
              <w:t>比乐品牌</w:t>
            </w:r>
          </w:p>
        </w:tc>
        <w:tc>
          <w:tcPr>
            <w:tcW w:type="dxa" w:w="3969"/>
          </w:tcPr>
          <w:p>
            <w:r>
              <w:rPr>
                <w:sz w:val="18"/>
              </w:rPr>
              <w:t>SKU精简、猫粮加速策略、老年犬聚焦</w:t>
            </w:r>
          </w:p>
        </w:tc>
        <w:tc>
          <w:tcPr>
            <w:tcW w:type="dxa" w:w="1417"/>
          </w:tcPr>
          <w:p>
            <w:r>
              <w:rPr>
                <w:sz w:val="18"/>
              </w:rPr>
              <w:t>★★★★☆</w:t>
            </w:r>
          </w:p>
        </w:tc>
      </w:tr>
      <w:tr>
        <w:tc>
          <w:tcPr>
            <w:tcW w:type="dxa" w:w="1701"/>
            <w:shd w:val="clear" w:color="auto" w:fill="F2F6FA"/>
          </w:tcPr>
          <w:p>
            <w:r>
              <w:rPr>
                <w:sz w:val="18"/>
              </w:rPr>
              <w:t>组织能力建设</w:t>
            </w:r>
          </w:p>
        </w:tc>
        <w:tc>
          <w:tcPr>
            <w:tcW w:type="dxa" w:w="1417"/>
            <w:shd w:val="clear" w:color="auto" w:fill="F2F6FA"/>
          </w:tcPr>
          <w:p>
            <w:r>
              <w:rPr>
                <w:sz w:val="18"/>
              </w:rPr>
              <w:t>福贝集团</w:t>
            </w:r>
          </w:p>
        </w:tc>
        <w:tc>
          <w:tcPr>
            <w:tcW w:type="dxa" w:w="3969"/>
            <w:shd w:val="clear" w:color="auto" w:fill="F2F6FA"/>
          </w:tcPr>
          <w:p>
            <w:r>
              <w:rPr>
                <w:sz w:val="18"/>
              </w:rPr>
              <w:t>品牌团队搭建、KPI体系、外脑机制</w:t>
            </w:r>
          </w:p>
        </w:tc>
        <w:tc>
          <w:tcPr>
            <w:tcW w:type="dxa" w:w="1417"/>
            <w:shd w:val="clear" w:color="auto" w:fill="F2F6FA"/>
          </w:tcPr>
          <w:p>
            <w:r>
              <w:rPr>
                <w:sz w:val="18"/>
              </w:rPr>
              <w:t>★★★★☆</w:t>
            </w:r>
          </w:p>
        </w:tc>
      </w:tr>
      <w:tr>
        <w:tc>
          <w:tcPr>
            <w:tcW w:type="dxa" w:w="1701"/>
          </w:tcPr>
          <w:p>
            <w:r>
              <w:rPr>
                <w:sz w:val="18"/>
              </w:rPr>
              <w:t>海外品牌策略</w:t>
            </w:r>
          </w:p>
        </w:tc>
        <w:tc>
          <w:tcPr>
            <w:tcW w:type="dxa" w:w="1417"/>
          </w:tcPr>
          <w:p>
            <w:r>
              <w:rPr>
                <w:sz w:val="18"/>
              </w:rPr>
              <w:t>福贝集团</w:t>
            </w:r>
          </w:p>
        </w:tc>
        <w:tc>
          <w:tcPr>
            <w:tcW w:type="dxa" w:w="3969"/>
          </w:tcPr>
          <w:p>
            <w:r>
              <w:rPr>
                <w:sz w:val="18"/>
              </w:rPr>
              <w:t>出海品牌定位、ODM→OBM海外路径</w:t>
            </w:r>
          </w:p>
        </w:tc>
        <w:tc>
          <w:tcPr>
            <w:tcW w:type="dxa" w:w="1417"/>
          </w:tcPr>
          <w:p>
            <w:r>
              <w:rPr>
                <w:sz w:val="18"/>
              </w:rPr>
              <w:t>★★★☆☆</w:t>
            </w:r>
          </w:p>
        </w:tc>
      </w:tr>
    </w:tbl>
    <w:p>
      <w:pPr>
        <w:pStyle w:val="Heading1"/>
      </w:pPr>
      <w:r>
        <w:rPr>
          <w:color w:val="1A2744"/>
        </w:rPr>
        <w:t>附录：数据核验表与方法论</w:t>
      </w:r>
    </w:p>
    <w:p>
      <w:pPr>
        <w:pStyle w:val="Heading2"/>
      </w:pPr>
      <w:r>
        <w:rPr>
          <w:color w:val="1A2744"/>
        </w:rPr>
        <w:t>A.1  全报告关键数据核验</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C3E50"/>
          </w:tcPr>
          <w:p>
            <w:pPr>
              <w:jc w:val="center"/>
            </w:pPr>
            <w:r>
              <w:rPr>
                <w:b/>
                <w:color w:val="FFFFFF"/>
                <w:sz w:val="18"/>
              </w:rPr>
              <w:t>数据点</w:t>
            </w:r>
          </w:p>
        </w:tc>
        <w:tc>
          <w:tcPr>
            <w:tcW w:type="dxa" w:w="1701"/>
            <w:shd w:val="clear" w:color="auto" w:fill="2C3E50"/>
          </w:tcPr>
          <w:p>
            <w:pPr>
              <w:jc w:val="center"/>
            </w:pPr>
            <w:r>
              <w:rPr>
                <w:b/>
                <w:color w:val="FFFFFF"/>
                <w:sz w:val="18"/>
              </w:rPr>
              <w:t>数值</w:t>
            </w:r>
          </w:p>
        </w:tc>
        <w:tc>
          <w:tcPr>
            <w:tcW w:type="dxa" w:w="2835"/>
            <w:shd w:val="clear" w:color="auto" w:fill="2C3E50"/>
          </w:tcPr>
          <w:p>
            <w:pPr>
              <w:jc w:val="center"/>
            </w:pPr>
            <w:r>
              <w:rPr>
                <w:b/>
                <w:color w:val="FFFFFF"/>
                <w:sz w:val="18"/>
              </w:rPr>
              <w:t>来源</w:t>
            </w:r>
          </w:p>
        </w:tc>
        <w:tc>
          <w:tcPr>
            <w:tcW w:type="dxa" w:w="1134"/>
            <w:shd w:val="clear" w:color="auto" w:fill="2C3E50"/>
          </w:tcPr>
          <w:p>
            <w:pPr>
              <w:jc w:val="center"/>
            </w:pPr>
            <w:r>
              <w:rPr>
                <w:b/>
                <w:color w:val="FFFFFF"/>
                <w:sz w:val="18"/>
              </w:rPr>
              <w:t>验证状态</w:t>
            </w:r>
          </w:p>
        </w:tc>
      </w:tr>
      <w:tr>
        <w:tc>
          <w:tcPr>
            <w:tcW w:type="dxa" w:w="2268"/>
            <w:shd w:val="clear" w:color="auto" w:fill="F2F6FA"/>
          </w:tcPr>
          <w:p>
            <w:r>
              <w:rPr>
                <w:sz w:val="18"/>
              </w:rPr>
              <w:t>中国宠物食品市场规模(2025)</w:t>
            </w:r>
          </w:p>
        </w:tc>
        <w:tc>
          <w:tcPr>
            <w:tcW w:type="dxa" w:w="1701"/>
            <w:shd w:val="clear" w:color="auto" w:fill="F2F6FA"/>
          </w:tcPr>
          <w:p>
            <w:r>
              <w:rPr>
                <w:sz w:val="18"/>
              </w:rPr>
              <w:t>547.19亿元</w:t>
            </w:r>
          </w:p>
        </w:tc>
        <w:tc>
          <w:tcPr>
            <w:tcW w:type="dxa" w:w="2835"/>
            <w:shd w:val="clear" w:color="auto" w:fill="F2F6FA"/>
          </w:tcPr>
          <w:p>
            <w:r>
              <w:rPr>
                <w:sz w:val="18"/>
              </w:rPr>
              <w:t>前瞻产业研究院</w:t>
            </w:r>
          </w:p>
        </w:tc>
        <w:tc>
          <w:tcPr>
            <w:tcW w:type="dxa" w:w="1134"/>
            <w:shd w:val="clear" w:color="auto" w:fill="F2F6FA"/>
          </w:tcPr>
          <w:p>
            <w:r>
              <w:rPr>
                <w:sz w:val="18"/>
              </w:rPr>
              <w:t>✓已验证</w:t>
            </w:r>
          </w:p>
        </w:tc>
      </w:tr>
      <w:tr>
        <w:tc>
          <w:tcPr>
            <w:tcW w:type="dxa" w:w="2268"/>
          </w:tcPr>
          <w:p>
            <w:r>
              <w:rPr>
                <w:sz w:val="18"/>
              </w:rPr>
              <w:t>品牌CR5</w:t>
            </w:r>
          </w:p>
        </w:tc>
        <w:tc>
          <w:tcPr>
            <w:tcW w:type="dxa" w:w="1701"/>
          </w:tcPr>
          <w:p>
            <w:r>
              <w:rPr>
                <w:sz w:val="18"/>
              </w:rPr>
              <w:t>18.90%</w:t>
            </w:r>
          </w:p>
        </w:tc>
        <w:tc>
          <w:tcPr>
            <w:tcW w:type="dxa" w:w="2835"/>
          </w:tcPr>
          <w:p>
            <w:r>
              <w:rPr>
                <w:sz w:val="18"/>
              </w:rPr>
              <w:t>前瞻产业研究院</w:t>
            </w:r>
          </w:p>
        </w:tc>
        <w:tc>
          <w:tcPr>
            <w:tcW w:type="dxa" w:w="1134"/>
          </w:tcPr>
          <w:p>
            <w:r>
              <w:rPr>
                <w:sz w:val="18"/>
              </w:rPr>
              <w:t>✓已验证</w:t>
            </w:r>
          </w:p>
        </w:tc>
      </w:tr>
      <w:tr>
        <w:tc>
          <w:tcPr>
            <w:tcW w:type="dxa" w:w="2268"/>
            <w:shd w:val="clear" w:color="auto" w:fill="F2F6FA"/>
          </w:tcPr>
          <w:p>
            <w:r>
              <w:rPr>
                <w:sz w:val="18"/>
              </w:rPr>
              <w:t>品牌CR10</w:t>
            </w:r>
          </w:p>
        </w:tc>
        <w:tc>
          <w:tcPr>
            <w:tcW w:type="dxa" w:w="1701"/>
            <w:shd w:val="clear" w:color="auto" w:fill="F2F6FA"/>
          </w:tcPr>
          <w:p>
            <w:r>
              <w:rPr>
                <w:sz w:val="18"/>
              </w:rPr>
              <w:t>26.00%</w:t>
            </w:r>
          </w:p>
        </w:tc>
        <w:tc>
          <w:tcPr>
            <w:tcW w:type="dxa" w:w="2835"/>
            <w:shd w:val="clear" w:color="auto" w:fill="F2F6FA"/>
          </w:tcPr>
          <w:p>
            <w:r>
              <w:rPr>
                <w:sz w:val="18"/>
              </w:rPr>
              <w:t>前瞻产业研究院</w:t>
            </w:r>
          </w:p>
        </w:tc>
        <w:tc>
          <w:tcPr>
            <w:tcW w:type="dxa" w:w="1134"/>
            <w:shd w:val="clear" w:color="auto" w:fill="F2F6FA"/>
          </w:tcPr>
          <w:p>
            <w:r>
              <w:rPr>
                <w:sz w:val="18"/>
              </w:rPr>
              <w:t>✓已验证</w:t>
            </w:r>
          </w:p>
        </w:tc>
      </w:tr>
      <w:tr>
        <w:tc>
          <w:tcPr>
            <w:tcW w:type="dxa" w:w="2268"/>
          </w:tcPr>
          <w:p>
            <w:r>
              <w:rPr>
                <w:sz w:val="18"/>
              </w:rPr>
              <w:t>线上渠道占比(2025)</w:t>
            </w:r>
          </w:p>
        </w:tc>
        <w:tc>
          <w:tcPr>
            <w:tcW w:type="dxa" w:w="1701"/>
          </w:tcPr>
          <w:p>
            <w:r>
              <w:rPr>
                <w:sz w:val="18"/>
              </w:rPr>
              <w:t>67.6%</w:t>
            </w:r>
          </w:p>
        </w:tc>
        <w:tc>
          <w:tcPr>
            <w:tcW w:type="dxa" w:w="2835"/>
          </w:tcPr>
          <w:p>
            <w:r>
              <w:rPr>
                <w:sz w:val="18"/>
              </w:rPr>
              <w:t>前瞻产业研究院</w:t>
            </w:r>
          </w:p>
        </w:tc>
        <w:tc>
          <w:tcPr>
            <w:tcW w:type="dxa" w:w="1134"/>
          </w:tcPr>
          <w:p>
            <w:r>
              <w:rPr>
                <w:sz w:val="18"/>
              </w:rPr>
              <w:t>✓已验证</w:t>
            </w:r>
          </w:p>
        </w:tc>
      </w:tr>
      <w:tr>
        <w:tc>
          <w:tcPr>
            <w:tcW w:type="dxa" w:w="2268"/>
            <w:shd w:val="clear" w:color="auto" w:fill="F2F6FA"/>
          </w:tcPr>
          <w:p>
            <w:r>
              <w:rPr>
                <w:sz w:val="18"/>
              </w:rPr>
              <w:t>2021-2024 CAGR</w:t>
            </w:r>
          </w:p>
        </w:tc>
        <w:tc>
          <w:tcPr>
            <w:tcW w:type="dxa" w:w="1701"/>
            <w:shd w:val="clear" w:color="auto" w:fill="F2F6FA"/>
          </w:tcPr>
          <w:p>
            <w:r>
              <w:rPr>
                <w:sz w:val="18"/>
              </w:rPr>
              <w:t>5.1%</w:t>
            </w:r>
          </w:p>
        </w:tc>
        <w:tc>
          <w:tcPr>
            <w:tcW w:type="dxa" w:w="2835"/>
            <w:shd w:val="clear" w:color="auto" w:fill="F2F6FA"/>
          </w:tcPr>
          <w:p>
            <w:r>
              <w:rPr>
                <w:sz w:val="18"/>
              </w:rPr>
              <w:t>前瞻产业研究院</w:t>
            </w:r>
          </w:p>
        </w:tc>
        <w:tc>
          <w:tcPr>
            <w:tcW w:type="dxa" w:w="1134"/>
            <w:shd w:val="clear" w:color="auto" w:fill="F2F6FA"/>
          </w:tcPr>
          <w:p>
            <w:r>
              <w:rPr>
                <w:sz w:val="18"/>
              </w:rPr>
              <w:t>✓已验证</w:t>
            </w:r>
          </w:p>
        </w:tc>
      </w:tr>
      <w:tr>
        <w:tc>
          <w:tcPr>
            <w:tcW w:type="dxa" w:w="2268"/>
          </w:tcPr>
          <w:p>
            <w:r>
              <w:rPr>
                <w:sz w:val="18"/>
              </w:rPr>
              <w:t>福贝2025总营收</w:t>
            </w:r>
          </w:p>
        </w:tc>
        <w:tc>
          <w:tcPr>
            <w:tcW w:type="dxa" w:w="1701"/>
          </w:tcPr>
          <w:p>
            <w:r>
              <w:rPr>
                <w:sz w:val="18"/>
              </w:rPr>
              <w:t>10.21亿元</w:t>
            </w:r>
          </w:p>
        </w:tc>
        <w:tc>
          <w:tcPr>
            <w:tcW w:type="dxa" w:w="2835"/>
          </w:tcPr>
          <w:p>
            <w:r>
              <w:rPr>
                <w:sz w:val="18"/>
              </w:rPr>
              <w:t>福贝招股书(2026.06)</w:t>
            </w:r>
          </w:p>
        </w:tc>
        <w:tc>
          <w:tcPr>
            <w:tcW w:type="dxa" w:w="1134"/>
          </w:tcPr>
          <w:p>
            <w:r>
              <w:rPr>
                <w:sz w:val="18"/>
              </w:rPr>
              <w:t>✓已验证</w:t>
            </w:r>
          </w:p>
        </w:tc>
      </w:tr>
      <w:tr>
        <w:tc>
          <w:tcPr>
            <w:tcW w:type="dxa" w:w="2268"/>
            <w:shd w:val="clear" w:color="auto" w:fill="F2F6FA"/>
          </w:tcPr>
          <w:p>
            <w:r>
              <w:rPr>
                <w:sz w:val="18"/>
              </w:rPr>
              <w:t>福贝ODM收入(2025)</w:t>
            </w:r>
          </w:p>
        </w:tc>
        <w:tc>
          <w:tcPr>
            <w:tcW w:type="dxa" w:w="1701"/>
            <w:shd w:val="clear" w:color="auto" w:fill="F2F6FA"/>
          </w:tcPr>
          <w:p>
            <w:r>
              <w:rPr>
                <w:sz w:val="18"/>
              </w:rPr>
              <w:t>6.30亿元</w:t>
            </w:r>
          </w:p>
        </w:tc>
        <w:tc>
          <w:tcPr>
            <w:tcW w:type="dxa" w:w="2835"/>
            <w:shd w:val="clear" w:color="auto" w:fill="F2F6FA"/>
          </w:tcPr>
          <w:p>
            <w:r>
              <w:rPr>
                <w:sz w:val="18"/>
              </w:rPr>
              <w:t>福贝招股书</w:t>
            </w:r>
          </w:p>
        </w:tc>
        <w:tc>
          <w:tcPr>
            <w:tcW w:type="dxa" w:w="1134"/>
            <w:shd w:val="clear" w:color="auto" w:fill="F2F6FA"/>
          </w:tcPr>
          <w:p>
            <w:r>
              <w:rPr>
                <w:sz w:val="18"/>
              </w:rPr>
              <w:t>✓已验证</w:t>
            </w:r>
          </w:p>
        </w:tc>
      </w:tr>
      <w:tr>
        <w:tc>
          <w:tcPr>
            <w:tcW w:type="dxa" w:w="2268"/>
          </w:tcPr>
          <w:p>
            <w:r>
              <w:rPr>
                <w:sz w:val="18"/>
              </w:rPr>
              <w:t>福贝OBM收入(2025)</w:t>
            </w:r>
          </w:p>
        </w:tc>
        <w:tc>
          <w:tcPr>
            <w:tcW w:type="dxa" w:w="1701"/>
          </w:tcPr>
          <w:p>
            <w:r>
              <w:rPr>
                <w:sz w:val="18"/>
              </w:rPr>
              <w:t>3.50亿元</w:t>
            </w:r>
          </w:p>
        </w:tc>
        <w:tc>
          <w:tcPr>
            <w:tcW w:type="dxa" w:w="2835"/>
          </w:tcPr>
          <w:p>
            <w:r>
              <w:rPr>
                <w:sz w:val="18"/>
              </w:rPr>
              <w:t>福贝招股书</w:t>
            </w:r>
          </w:p>
        </w:tc>
        <w:tc>
          <w:tcPr>
            <w:tcW w:type="dxa" w:w="1134"/>
          </w:tcPr>
          <w:p>
            <w:r>
              <w:rPr>
                <w:sz w:val="18"/>
              </w:rPr>
              <w:t>✓已验证</w:t>
            </w:r>
          </w:p>
        </w:tc>
      </w:tr>
      <w:tr>
        <w:tc>
          <w:tcPr>
            <w:tcW w:type="dxa" w:w="2268"/>
            <w:shd w:val="clear" w:color="auto" w:fill="F2F6FA"/>
          </w:tcPr>
          <w:p>
            <w:r>
              <w:rPr>
                <w:sz w:val="18"/>
              </w:rPr>
              <w:t>比乐品牌收入(2025)</w:t>
            </w:r>
          </w:p>
        </w:tc>
        <w:tc>
          <w:tcPr>
            <w:tcW w:type="dxa" w:w="1701"/>
            <w:shd w:val="clear" w:color="auto" w:fill="F2F6FA"/>
          </w:tcPr>
          <w:p>
            <w:r>
              <w:rPr>
                <w:sz w:val="18"/>
              </w:rPr>
              <w:t>3.33亿元</w:t>
            </w:r>
          </w:p>
        </w:tc>
        <w:tc>
          <w:tcPr>
            <w:tcW w:type="dxa" w:w="2835"/>
            <w:shd w:val="clear" w:color="auto" w:fill="F2F6FA"/>
          </w:tcPr>
          <w:p>
            <w:r>
              <w:rPr>
                <w:sz w:val="18"/>
              </w:rPr>
              <w:t>福贝招股书</w:t>
            </w:r>
          </w:p>
        </w:tc>
        <w:tc>
          <w:tcPr>
            <w:tcW w:type="dxa" w:w="1134"/>
            <w:shd w:val="clear" w:color="auto" w:fill="F2F6FA"/>
          </w:tcPr>
          <w:p>
            <w:r>
              <w:rPr>
                <w:sz w:val="18"/>
              </w:rPr>
              <w:t>✓已验证</w:t>
            </w:r>
          </w:p>
        </w:tc>
      </w:tr>
      <w:tr>
        <w:tc>
          <w:tcPr>
            <w:tcW w:type="dxa" w:w="2268"/>
          </w:tcPr>
          <w:p>
            <w:r>
              <w:rPr>
                <w:sz w:val="18"/>
              </w:rPr>
              <w:t>福贝净利润(2025)</w:t>
            </w:r>
          </w:p>
        </w:tc>
        <w:tc>
          <w:tcPr>
            <w:tcW w:type="dxa" w:w="1701"/>
          </w:tcPr>
          <w:p>
            <w:r>
              <w:rPr>
                <w:sz w:val="18"/>
              </w:rPr>
              <w:t>0.98亿元</w:t>
            </w:r>
          </w:p>
        </w:tc>
        <w:tc>
          <w:tcPr>
            <w:tcW w:type="dxa" w:w="2835"/>
          </w:tcPr>
          <w:p>
            <w:r>
              <w:rPr>
                <w:sz w:val="18"/>
              </w:rPr>
              <w:t>福贝招股书</w:t>
            </w:r>
          </w:p>
        </w:tc>
        <w:tc>
          <w:tcPr>
            <w:tcW w:type="dxa" w:w="1134"/>
          </w:tcPr>
          <w:p>
            <w:r>
              <w:rPr>
                <w:sz w:val="18"/>
              </w:rPr>
              <w:t>✓已验证</w:t>
            </w:r>
          </w:p>
        </w:tc>
      </w:tr>
      <w:tr>
        <w:tc>
          <w:tcPr>
            <w:tcW w:type="dxa" w:w="2268"/>
            <w:shd w:val="clear" w:color="auto" w:fill="F2F6FA"/>
          </w:tcPr>
          <w:p>
            <w:r>
              <w:rPr>
                <w:sz w:val="18"/>
              </w:rPr>
              <w:t>福贝净利润降幅</w:t>
            </w:r>
          </w:p>
        </w:tc>
        <w:tc>
          <w:tcPr>
            <w:tcW w:type="dxa" w:w="1701"/>
            <w:shd w:val="clear" w:color="auto" w:fill="F2F6FA"/>
          </w:tcPr>
          <w:p>
            <w:r>
              <w:rPr>
                <w:sz w:val="18"/>
              </w:rPr>
              <w:t>40.1%</w:t>
            </w:r>
          </w:p>
        </w:tc>
        <w:tc>
          <w:tcPr>
            <w:tcW w:type="dxa" w:w="2835"/>
            <w:shd w:val="clear" w:color="auto" w:fill="F2F6FA"/>
          </w:tcPr>
          <w:p>
            <w:r>
              <w:rPr>
                <w:sz w:val="18"/>
              </w:rPr>
              <w:t>腾讯新闻/长江商报</w:t>
            </w:r>
          </w:p>
        </w:tc>
        <w:tc>
          <w:tcPr>
            <w:tcW w:type="dxa" w:w="1134"/>
            <w:shd w:val="clear" w:color="auto" w:fill="F2F6FA"/>
          </w:tcPr>
          <w:p>
            <w:r>
              <w:rPr>
                <w:sz w:val="18"/>
              </w:rPr>
              <w:t>✓已验证</w:t>
            </w:r>
          </w:p>
        </w:tc>
      </w:tr>
      <w:tr>
        <w:tc>
          <w:tcPr>
            <w:tcW w:type="dxa" w:w="2268"/>
          </w:tcPr>
          <w:p>
            <w:r>
              <w:rPr>
                <w:sz w:val="18"/>
              </w:rPr>
              <w:t>福贝综合毛利率(2025)</w:t>
            </w:r>
          </w:p>
        </w:tc>
        <w:tc>
          <w:tcPr>
            <w:tcW w:type="dxa" w:w="1701"/>
          </w:tcPr>
          <w:p>
            <w:r>
              <w:rPr>
                <w:sz w:val="18"/>
              </w:rPr>
              <w:t>31.6%</w:t>
            </w:r>
          </w:p>
        </w:tc>
        <w:tc>
          <w:tcPr>
            <w:tcW w:type="dxa" w:w="2835"/>
          </w:tcPr>
          <w:p>
            <w:r>
              <w:rPr>
                <w:sz w:val="18"/>
              </w:rPr>
              <w:t>福贝招股书</w:t>
            </w:r>
          </w:p>
        </w:tc>
        <w:tc>
          <w:tcPr>
            <w:tcW w:type="dxa" w:w="1134"/>
          </w:tcPr>
          <w:p>
            <w:r>
              <w:rPr>
                <w:sz w:val="18"/>
              </w:rPr>
              <w:t>✓已验证</w:t>
            </w:r>
          </w:p>
        </w:tc>
      </w:tr>
      <w:tr>
        <w:tc>
          <w:tcPr>
            <w:tcW w:type="dxa" w:w="2268"/>
            <w:shd w:val="clear" w:color="auto" w:fill="F2F6FA"/>
          </w:tcPr>
          <w:p>
            <w:r>
              <w:rPr>
                <w:sz w:val="18"/>
              </w:rPr>
              <w:t>福贝ODM毛利率(2025)</w:t>
            </w:r>
          </w:p>
        </w:tc>
        <w:tc>
          <w:tcPr>
            <w:tcW w:type="dxa" w:w="1701"/>
            <w:shd w:val="clear" w:color="auto" w:fill="F2F6FA"/>
          </w:tcPr>
          <w:p>
            <w:r>
              <w:rPr>
                <w:sz w:val="18"/>
              </w:rPr>
              <w:t>23.1%</w:t>
            </w:r>
          </w:p>
        </w:tc>
        <w:tc>
          <w:tcPr>
            <w:tcW w:type="dxa" w:w="2835"/>
            <w:shd w:val="clear" w:color="auto" w:fill="F2F6FA"/>
          </w:tcPr>
          <w:p>
            <w:r>
              <w:rPr>
                <w:sz w:val="18"/>
              </w:rPr>
              <w:t>福贝招股书</w:t>
            </w:r>
          </w:p>
        </w:tc>
        <w:tc>
          <w:tcPr>
            <w:tcW w:type="dxa" w:w="1134"/>
            <w:shd w:val="clear" w:color="auto" w:fill="F2F6FA"/>
          </w:tcPr>
          <w:p>
            <w:r>
              <w:rPr>
                <w:sz w:val="18"/>
              </w:rPr>
              <w:t>✓已验证</w:t>
            </w:r>
          </w:p>
        </w:tc>
      </w:tr>
      <w:tr>
        <w:tc>
          <w:tcPr>
            <w:tcW w:type="dxa" w:w="2268"/>
          </w:tcPr>
          <w:p>
            <w:r>
              <w:rPr>
                <w:sz w:val="18"/>
              </w:rPr>
              <w:t>福贝OBM毛利率</w:t>
            </w:r>
          </w:p>
        </w:tc>
        <w:tc>
          <w:tcPr>
            <w:tcW w:type="dxa" w:w="1701"/>
          </w:tcPr>
          <w:p>
            <w:r>
              <w:rPr>
                <w:sz w:val="18"/>
              </w:rPr>
              <w:t>约49%</w:t>
            </w:r>
          </w:p>
        </w:tc>
        <w:tc>
          <w:tcPr>
            <w:tcW w:type="dxa" w:w="2835"/>
          </w:tcPr>
          <w:p>
            <w:r>
              <w:rPr>
                <w:sz w:val="18"/>
              </w:rPr>
              <w:t>福贝招股书</w:t>
            </w:r>
          </w:p>
        </w:tc>
        <w:tc>
          <w:tcPr>
            <w:tcW w:type="dxa" w:w="1134"/>
          </w:tcPr>
          <w:p>
            <w:r>
              <w:rPr>
                <w:sz w:val="18"/>
              </w:rPr>
              <w:t>✓已验证</w:t>
            </w:r>
          </w:p>
        </w:tc>
      </w:tr>
      <w:tr>
        <w:tc>
          <w:tcPr>
            <w:tcW w:type="dxa" w:w="2268"/>
            <w:shd w:val="clear" w:color="auto" w:fill="F2F6FA"/>
          </w:tcPr>
          <w:p>
            <w:r>
              <w:rPr>
                <w:sz w:val="18"/>
              </w:rPr>
              <w:t>福贝产能利用率</w:t>
            </w:r>
          </w:p>
        </w:tc>
        <w:tc>
          <w:tcPr>
            <w:tcW w:type="dxa" w:w="1701"/>
            <w:shd w:val="clear" w:color="auto" w:fill="F2F6FA"/>
          </w:tcPr>
          <w:p>
            <w:r>
              <w:rPr>
                <w:sz w:val="18"/>
              </w:rPr>
              <w:t>52.0%</w:t>
            </w:r>
          </w:p>
        </w:tc>
        <w:tc>
          <w:tcPr>
            <w:tcW w:type="dxa" w:w="2835"/>
            <w:shd w:val="clear" w:color="auto" w:fill="F2F6FA"/>
          </w:tcPr>
          <w:p>
            <w:r>
              <w:rPr>
                <w:sz w:val="18"/>
              </w:rPr>
              <w:t>福贝招股书</w:t>
            </w:r>
          </w:p>
        </w:tc>
        <w:tc>
          <w:tcPr>
            <w:tcW w:type="dxa" w:w="1134"/>
            <w:shd w:val="clear" w:color="auto" w:fill="F2F6FA"/>
          </w:tcPr>
          <w:p>
            <w:r>
              <w:rPr>
                <w:sz w:val="18"/>
              </w:rPr>
              <w:t>✓已验证</w:t>
            </w:r>
          </w:p>
        </w:tc>
      </w:tr>
      <w:tr>
        <w:tc>
          <w:tcPr>
            <w:tcW w:type="dxa" w:w="2268"/>
          </w:tcPr>
          <w:p>
            <w:r>
              <w:rPr>
                <w:sz w:val="18"/>
              </w:rPr>
              <w:t>福贝经营现金流(2025)</w:t>
            </w:r>
          </w:p>
        </w:tc>
        <w:tc>
          <w:tcPr>
            <w:tcW w:type="dxa" w:w="1701"/>
          </w:tcPr>
          <w:p>
            <w:r>
              <w:rPr>
                <w:sz w:val="18"/>
              </w:rPr>
              <w:t>0.83亿元</w:t>
            </w:r>
          </w:p>
        </w:tc>
        <w:tc>
          <w:tcPr>
            <w:tcW w:type="dxa" w:w="2835"/>
          </w:tcPr>
          <w:p>
            <w:r>
              <w:rPr>
                <w:sz w:val="18"/>
              </w:rPr>
              <w:t>福贝招股书</w:t>
            </w:r>
          </w:p>
        </w:tc>
        <w:tc>
          <w:tcPr>
            <w:tcW w:type="dxa" w:w="1134"/>
          </w:tcPr>
          <w:p>
            <w:r>
              <w:rPr>
                <w:sz w:val="18"/>
              </w:rPr>
              <w:t>✓已验证</w:t>
            </w:r>
          </w:p>
        </w:tc>
      </w:tr>
      <w:tr>
        <w:tc>
          <w:tcPr>
            <w:tcW w:type="dxa" w:w="2268"/>
            <w:shd w:val="clear" w:color="auto" w:fill="F2F6FA"/>
          </w:tcPr>
          <w:p>
            <w:r>
              <w:rPr>
                <w:sz w:val="18"/>
              </w:rPr>
              <w:t>福贝研发费用(2025)</w:t>
            </w:r>
          </w:p>
        </w:tc>
        <w:tc>
          <w:tcPr>
            <w:tcW w:type="dxa" w:w="1701"/>
            <w:shd w:val="clear" w:color="auto" w:fill="F2F6FA"/>
          </w:tcPr>
          <w:p>
            <w:r>
              <w:rPr>
                <w:sz w:val="18"/>
              </w:rPr>
              <w:t>1151万元</w:t>
            </w:r>
          </w:p>
        </w:tc>
        <w:tc>
          <w:tcPr>
            <w:tcW w:type="dxa" w:w="2835"/>
            <w:shd w:val="clear" w:color="auto" w:fill="F2F6FA"/>
          </w:tcPr>
          <w:p>
            <w:r>
              <w:rPr>
                <w:sz w:val="18"/>
              </w:rPr>
              <w:t>福贝招股书</w:t>
            </w:r>
          </w:p>
        </w:tc>
        <w:tc>
          <w:tcPr>
            <w:tcW w:type="dxa" w:w="1134"/>
            <w:shd w:val="clear" w:color="auto" w:fill="F2F6FA"/>
          </w:tcPr>
          <w:p>
            <w:r>
              <w:rPr>
                <w:sz w:val="18"/>
              </w:rPr>
              <w:t>✓已验证</w:t>
            </w:r>
          </w:p>
        </w:tc>
      </w:tr>
      <w:tr>
        <w:tc>
          <w:tcPr>
            <w:tcW w:type="dxa" w:w="2268"/>
          </w:tcPr>
          <w:p>
            <w:r>
              <w:rPr>
                <w:sz w:val="18"/>
              </w:rPr>
              <w:t>福贝营销费用(2025)</w:t>
            </w:r>
          </w:p>
        </w:tc>
        <w:tc>
          <w:tcPr>
            <w:tcW w:type="dxa" w:w="1701"/>
          </w:tcPr>
          <w:p>
            <w:r>
              <w:rPr>
                <w:sz w:val="18"/>
              </w:rPr>
              <w:t>1.33亿元</w:t>
            </w:r>
          </w:p>
        </w:tc>
        <w:tc>
          <w:tcPr>
            <w:tcW w:type="dxa" w:w="2835"/>
          </w:tcPr>
          <w:p>
            <w:r>
              <w:rPr>
                <w:sz w:val="18"/>
              </w:rPr>
              <w:t>福贝招股书</w:t>
            </w:r>
          </w:p>
        </w:tc>
        <w:tc>
          <w:tcPr>
            <w:tcW w:type="dxa" w:w="1134"/>
          </w:tcPr>
          <w:p>
            <w:r>
              <w:rPr>
                <w:sz w:val="18"/>
              </w:rPr>
              <w:t>✓已验证</w:t>
            </w:r>
          </w:p>
        </w:tc>
      </w:tr>
      <w:tr>
        <w:tc>
          <w:tcPr>
            <w:tcW w:type="dxa" w:w="2268"/>
            <w:shd w:val="clear" w:color="auto" w:fill="F2F6FA"/>
          </w:tcPr>
          <w:p>
            <w:r>
              <w:rPr>
                <w:sz w:val="18"/>
              </w:rPr>
              <w:t>乖宝2025营收</w:t>
            </w:r>
          </w:p>
        </w:tc>
        <w:tc>
          <w:tcPr>
            <w:tcW w:type="dxa" w:w="1701"/>
            <w:shd w:val="clear" w:color="auto" w:fill="F2F6FA"/>
          </w:tcPr>
          <w:p>
            <w:r>
              <w:rPr>
                <w:sz w:val="18"/>
              </w:rPr>
              <w:t>67.69亿元</w:t>
            </w:r>
          </w:p>
        </w:tc>
        <w:tc>
          <w:tcPr>
            <w:tcW w:type="dxa" w:w="2835"/>
            <w:shd w:val="clear" w:color="auto" w:fill="F2F6FA"/>
          </w:tcPr>
          <w:p>
            <w:r>
              <w:rPr>
                <w:sz w:val="18"/>
              </w:rPr>
              <w:t>乖宝宠物年报</w:t>
            </w:r>
          </w:p>
        </w:tc>
        <w:tc>
          <w:tcPr>
            <w:tcW w:type="dxa" w:w="1134"/>
            <w:shd w:val="clear" w:color="auto" w:fill="F2F6FA"/>
          </w:tcPr>
          <w:p>
            <w:r>
              <w:rPr>
                <w:sz w:val="18"/>
              </w:rPr>
              <w:t>✓已验证</w:t>
            </w:r>
          </w:p>
        </w:tc>
      </w:tr>
      <w:tr>
        <w:tc>
          <w:tcPr>
            <w:tcW w:type="dxa" w:w="2268"/>
          </w:tcPr>
          <w:p>
            <w:r>
              <w:rPr>
                <w:sz w:val="18"/>
              </w:rPr>
              <w:t>乖宝2025归母净利润</w:t>
            </w:r>
          </w:p>
        </w:tc>
        <w:tc>
          <w:tcPr>
            <w:tcW w:type="dxa" w:w="1701"/>
          </w:tcPr>
          <w:p>
            <w:r>
              <w:rPr>
                <w:sz w:val="18"/>
              </w:rPr>
              <w:t>6.73亿元</w:t>
            </w:r>
          </w:p>
        </w:tc>
        <w:tc>
          <w:tcPr>
            <w:tcW w:type="dxa" w:w="2835"/>
          </w:tcPr>
          <w:p>
            <w:r>
              <w:rPr>
                <w:sz w:val="18"/>
              </w:rPr>
              <w:t>乖宝宠物年报</w:t>
            </w:r>
          </w:p>
        </w:tc>
        <w:tc>
          <w:tcPr>
            <w:tcW w:type="dxa" w:w="1134"/>
          </w:tcPr>
          <w:p>
            <w:r>
              <w:rPr>
                <w:sz w:val="18"/>
              </w:rPr>
              <w:t>✓已验证</w:t>
            </w:r>
          </w:p>
        </w:tc>
      </w:tr>
      <w:tr>
        <w:tc>
          <w:tcPr>
            <w:tcW w:type="dxa" w:w="2268"/>
            <w:shd w:val="clear" w:color="auto" w:fill="F2F6FA"/>
          </w:tcPr>
          <w:p>
            <w:r>
              <w:rPr>
                <w:sz w:val="18"/>
              </w:rPr>
              <w:t>乖宝毛利率(2025)</w:t>
            </w:r>
          </w:p>
        </w:tc>
        <w:tc>
          <w:tcPr>
            <w:tcW w:type="dxa" w:w="1701"/>
            <w:shd w:val="clear" w:color="auto" w:fill="F2F6FA"/>
          </w:tcPr>
          <w:p>
            <w:r>
              <w:rPr>
                <w:sz w:val="18"/>
              </w:rPr>
              <w:t>42.5%</w:t>
            </w:r>
          </w:p>
        </w:tc>
        <w:tc>
          <w:tcPr>
            <w:tcW w:type="dxa" w:w="2835"/>
            <w:shd w:val="clear" w:color="auto" w:fill="F2F6FA"/>
          </w:tcPr>
          <w:p>
            <w:r>
              <w:rPr>
                <w:sz w:val="18"/>
              </w:rPr>
              <w:t>乖宝宠物年报</w:t>
            </w:r>
          </w:p>
        </w:tc>
        <w:tc>
          <w:tcPr>
            <w:tcW w:type="dxa" w:w="1134"/>
            <w:shd w:val="clear" w:color="auto" w:fill="F2F6FA"/>
          </w:tcPr>
          <w:p>
            <w:r>
              <w:rPr>
                <w:sz w:val="18"/>
              </w:rPr>
              <w:t>✓已验证</w:t>
            </w:r>
          </w:p>
        </w:tc>
      </w:tr>
      <w:tr>
        <w:tc>
          <w:tcPr>
            <w:tcW w:type="dxa" w:w="2268"/>
          </w:tcPr>
          <w:p>
            <w:r>
              <w:rPr>
                <w:sz w:val="18"/>
              </w:rPr>
              <w:t>乖宝自有品牌占比</w:t>
            </w:r>
          </w:p>
        </w:tc>
        <w:tc>
          <w:tcPr>
            <w:tcW w:type="dxa" w:w="1701"/>
          </w:tcPr>
          <w:p>
            <w:r>
              <w:rPr>
                <w:sz w:val="18"/>
              </w:rPr>
              <w:t>67.7%</w:t>
            </w:r>
          </w:p>
        </w:tc>
        <w:tc>
          <w:tcPr>
            <w:tcW w:type="dxa" w:w="2835"/>
          </w:tcPr>
          <w:p>
            <w:r>
              <w:rPr>
                <w:sz w:val="18"/>
              </w:rPr>
              <w:t>乖宝宠物年报</w:t>
            </w:r>
          </w:p>
        </w:tc>
        <w:tc>
          <w:tcPr>
            <w:tcW w:type="dxa" w:w="1134"/>
          </w:tcPr>
          <w:p>
            <w:r>
              <w:rPr>
                <w:sz w:val="18"/>
              </w:rPr>
              <w:t>✓已验证</w:t>
            </w:r>
          </w:p>
        </w:tc>
      </w:tr>
      <w:tr>
        <w:tc>
          <w:tcPr>
            <w:tcW w:type="dxa" w:w="2268"/>
            <w:shd w:val="clear" w:color="auto" w:fill="F2F6FA"/>
          </w:tcPr>
          <w:p>
            <w:r>
              <w:rPr>
                <w:sz w:val="18"/>
              </w:rPr>
              <w:t>中宠2024营收</w:t>
            </w:r>
          </w:p>
        </w:tc>
        <w:tc>
          <w:tcPr>
            <w:tcW w:type="dxa" w:w="1701"/>
            <w:shd w:val="clear" w:color="auto" w:fill="F2F6FA"/>
          </w:tcPr>
          <w:p>
            <w:r>
              <w:rPr>
                <w:sz w:val="18"/>
              </w:rPr>
              <w:t>44.65亿元</w:t>
            </w:r>
          </w:p>
        </w:tc>
        <w:tc>
          <w:tcPr>
            <w:tcW w:type="dxa" w:w="2835"/>
            <w:shd w:val="clear" w:color="auto" w:fill="F2F6FA"/>
          </w:tcPr>
          <w:p>
            <w:r>
              <w:rPr>
                <w:sz w:val="18"/>
              </w:rPr>
              <w:t>中宠股份年报</w:t>
            </w:r>
          </w:p>
        </w:tc>
        <w:tc>
          <w:tcPr>
            <w:tcW w:type="dxa" w:w="1134"/>
            <w:shd w:val="clear" w:color="auto" w:fill="F2F6FA"/>
          </w:tcPr>
          <w:p>
            <w:r>
              <w:rPr>
                <w:sz w:val="18"/>
              </w:rPr>
              <w:t>✓已验证</w:t>
            </w:r>
          </w:p>
        </w:tc>
      </w:tr>
      <w:tr>
        <w:tc>
          <w:tcPr>
            <w:tcW w:type="dxa" w:w="2268"/>
          </w:tcPr>
          <w:p>
            <w:r>
              <w:rPr>
                <w:sz w:val="18"/>
              </w:rPr>
              <w:t>中宠2024归母净利润</w:t>
            </w:r>
          </w:p>
        </w:tc>
        <w:tc>
          <w:tcPr>
            <w:tcW w:type="dxa" w:w="1701"/>
          </w:tcPr>
          <w:p>
            <w:r>
              <w:rPr>
                <w:sz w:val="18"/>
              </w:rPr>
              <w:t>3.94亿元</w:t>
            </w:r>
          </w:p>
        </w:tc>
        <w:tc>
          <w:tcPr>
            <w:tcW w:type="dxa" w:w="2835"/>
          </w:tcPr>
          <w:p>
            <w:r>
              <w:rPr>
                <w:sz w:val="18"/>
              </w:rPr>
              <w:t>中宠股份年报</w:t>
            </w:r>
          </w:p>
        </w:tc>
        <w:tc>
          <w:tcPr>
            <w:tcW w:type="dxa" w:w="1134"/>
          </w:tcPr>
          <w:p>
            <w:r>
              <w:rPr>
                <w:sz w:val="18"/>
              </w:rPr>
              <w:t>✓已验证</w:t>
            </w:r>
          </w:p>
        </w:tc>
      </w:tr>
      <w:tr>
        <w:tc>
          <w:tcPr>
            <w:tcW w:type="dxa" w:w="2268"/>
            <w:shd w:val="clear" w:color="auto" w:fill="F2F6FA"/>
          </w:tcPr>
          <w:p>
            <w:r>
              <w:rPr>
                <w:sz w:val="18"/>
              </w:rPr>
              <w:t>中宠毛利率</w:t>
            </w:r>
          </w:p>
        </w:tc>
        <w:tc>
          <w:tcPr>
            <w:tcW w:type="dxa" w:w="1701"/>
            <w:shd w:val="clear" w:color="auto" w:fill="F2F6FA"/>
          </w:tcPr>
          <w:p>
            <w:r>
              <w:rPr>
                <w:sz w:val="18"/>
              </w:rPr>
              <w:t>28.2%</w:t>
            </w:r>
          </w:p>
        </w:tc>
        <w:tc>
          <w:tcPr>
            <w:tcW w:type="dxa" w:w="2835"/>
            <w:shd w:val="clear" w:color="auto" w:fill="F2F6FA"/>
          </w:tcPr>
          <w:p>
            <w:r>
              <w:rPr>
                <w:sz w:val="18"/>
              </w:rPr>
              <w:t>中宠股份年报</w:t>
            </w:r>
          </w:p>
        </w:tc>
        <w:tc>
          <w:tcPr>
            <w:tcW w:type="dxa" w:w="1134"/>
            <w:shd w:val="clear" w:color="auto" w:fill="F2F6FA"/>
          </w:tcPr>
          <w:p>
            <w:r>
              <w:rPr>
                <w:sz w:val="18"/>
              </w:rPr>
              <w:t>✓已验证</w:t>
            </w:r>
          </w:p>
        </w:tc>
      </w:tr>
      <w:tr>
        <w:tc>
          <w:tcPr>
            <w:tcW w:type="dxa" w:w="2268"/>
          </w:tcPr>
          <w:p>
            <w:r>
              <w:rPr>
                <w:sz w:val="18"/>
              </w:rPr>
              <w:t>中宠主粮增速</w:t>
            </w:r>
          </w:p>
        </w:tc>
        <w:tc>
          <w:tcPr>
            <w:tcW w:type="dxa" w:w="1701"/>
          </w:tcPr>
          <w:p>
            <w:r>
              <w:rPr>
                <w:sz w:val="18"/>
              </w:rPr>
              <w:t>+91.85%</w:t>
            </w:r>
          </w:p>
        </w:tc>
        <w:tc>
          <w:tcPr>
            <w:tcW w:type="dxa" w:w="2835"/>
          </w:tcPr>
          <w:p>
            <w:r>
              <w:rPr>
                <w:sz w:val="18"/>
              </w:rPr>
              <w:t>中宠股份年报</w:t>
            </w:r>
          </w:p>
        </w:tc>
        <w:tc>
          <w:tcPr>
            <w:tcW w:type="dxa" w:w="1134"/>
          </w:tcPr>
          <w:p>
            <w:r>
              <w:rPr>
                <w:sz w:val="18"/>
              </w:rPr>
              <w:t>✓已验证</w:t>
            </w:r>
          </w:p>
        </w:tc>
      </w:tr>
      <w:tr>
        <w:tc>
          <w:tcPr>
            <w:tcW w:type="dxa" w:w="2268"/>
            <w:shd w:val="clear" w:color="auto" w:fill="F2F6FA"/>
          </w:tcPr>
          <w:p>
            <w:r>
              <w:rPr>
                <w:sz w:val="18"/>
              </w:rPr>
              <w:t>中宠自有品牌占比</w:t>
            </w:r>
          </w:p>
        </w:tc>
        <w:tc>
          <w:tcPr>
            <w:tcW w:type="dxa" w:w="1701"/>
            <w:shd w:val="clear" w:color="auto" w:fill="F2F6FA"/>
          </w:tcPr>
          <w:p>
            <w:r>
              <w:rPr>
                <w:sz w:val="18"/>
              </w:rPr>
              <w:t>31.67%</w:t>
            </w:r>
          </w:p>
        </w:tc>
        <w:tc>
          <w:tcPr>
            <w:tcW w:type="dxa" w:w="2835"/>
            <w:shd w:val="clear" w:color="auto" w:fill="F2F6FA"/>
          </w:tcPr>
          <w:p>
            <w:r>
              <w:rPr>
                <w:sz w:val="18"/>
              </w:rPr>
              <w:t>中宠股份年报</w:t>
            </w:r>
          </w:p>
        </w:tc>
        <w:tc>
          <w:tcPr>
            <w:tcW w:type="dxa" w:w="1134"/>
            <w:shd w:val="clear" w:color="auto" w:fill="F2F6FA"/>
          </w:tcPr>
          <w:p>
            <w:r>
              <w:rPr>
                <w:sz w:val="18"/>
              </w:rPr>
              <w:t>✓已验证</w:t>
            </w:r>
          </w:p>
        </w:tc>
      </w:tr>
      <w:tr>
        <w:tc>
          <w:tcPr>
            <w:tcW w:type="dxa" w:w="2268"/>
          </w:tcPr>
          <w:p>
            <w:r>
              <w:rPr>
                <w:sz w:val="18"/>
              </w:rPr>
              <w:t>SGS飞行抽检累计</w:t>
            </w:r>
          </w:p>
        </w:tc>
        <w:tc>
          <w:tcPr>
            <w:tcW w:type="dxa" w:w="1701"/>
          </w:tcPr>
          <w:p>
            <w:r>
              <w:rPr>
                <w:sz w:val="18"/>
              </w:rPr>
              <w:t>2400+批次</w:t>
            </w:r>
          </w:p>
        </w:tc>
        <w:tc>
          <w:tcPr>
            <w:tcW w:type="dxa" w:w="2835"/>
          </w:tcPr>
          <w:p>
            <w:r>
              <w:rPr>
                <w:sz w:val="18"/>
              </w:rPr>
              <w:t>比乐官网/淘江湖测评</w:t>
            </w:r>
          </w:p>
        </w:tc>
        <w:tc>
          <w:tcPr>
            <w:tcW w:type="dxa" w:w="1134"/>
          </w:tcPr>
          <w:p>
            <w:r>
              <w:rPr>
                <w:sz w:val="18"/>
              </w:rPr>
              <w:t>✓已验证</w:t>
            </w:r>
          </w:p>
        </w:tc>
      </w:tr>
      <w:tr>
        <w:tc>
          <w:tcPr>
            <w:tcW w:type="dxa" w:w="2268"/>
            <w:shd w:val="clear" w:color="auto" w:fill="F2F6FA"/>
          </w:tcPr>
          <w:p>
            <w:r>
              <w:rPr>
                <w:sz w:val="18"/>
              </w:rPr>
              <w:t>鸭肉梨连续5年第一</w:t>
            </w:r>
          </w:p>
        </w:tc>
        <w:tc>
          <w:tcPr>
            <w:tcW w:type="dxa" w:w="1701"/>
            <w:shd w:val="clear" w:color="auto" w:fill="F2F6FA"/>
          </w:tcPr>
          <w:p>
            <w:r>
              <w:rPr>
                <w:sz w:val="18"/>
              </w:rPr>
              <w:t>尚普咨询认证</w:t>
            </w:r>
          </w:p>
        </w:tc>
        <w:tc>
          <w:tcPr>
            <w:tcW w:type="dxa" w:w="2835"/>
            <w:shd w:val="clear" w:color="auto" w:fill="F2F6FA"/>
          </w:tcPr>
          <w:p>
            <w:r>
              <w:rPr>
                <w:sz w:val="18"/>
              </w:rPr>
              <w:t>比乐官网</w:t>
            </w:r>
          </w:p>
        </w:tc>
        <w:tc>
          <w:tcPr>
            <w:tcW w:type="dxa" w:w="1134"/>
            <w:shd w:val="clear" w:color="auto" w:fill="F2F6FA"/>
          </w:tcPr>
          <w:p>
            <w:r>
              <w:rPr>
                <w:sz w:val="18"/>
              </w:rPr>
              <w:t>✓已验证</w:t>
            </w:r>
          </w:p>
        </w:tc>
      </w:tr>
      <w:tr>
        <w:tc>
          <w:tcPr>
            <w:tcW w:type="dxa" w:w="2268"/>
          </w:tcPr>
          <w:p>
            <w:r>
              <w:rPr>
                <w:sz w:val="18"/>
              </w:rPr>
              <w:t>老年犬分阶宠食开创者</w:t>
            </w:r>
          </w:p>
        </w:tc>
        <w:tc>
          <w:tcPr>
            <w:tcW w:type="dxa" w:w="1701"/>
          </w:tcPr>
          <w:p>
            <w:r>
              <w:rPr>
                <w:sz w:val="18"/>
              </w:rPr>
              <w:t>尚普咨询认证</w:t>
            </w:r>
          </w:p>
        </w:tc>
        <w:tc>
          <w:tcPr>
            <w:tcW w:type="dxa" w:w="2835"/>
          </w:tcPr>
          <w:p>
            <w:r>
              <w:rPr>
                <w:sz w:val="18"/>
              </w:rPr>
              <w:t>比乐官网</w:t>
            </w:r>
          </w:p>
        </w:tc>
        <w:tc>
          <w:tcPr>
            <w:tcW w:type="dxa" w:w="1134"/>
          </w:tcPr>
          <w:p>
            <w:r>
              <w:rPr>
                <w:sz w:val="18"/>
              </w:rPr>
              <w:t>✓已验证</w:t>
            </w:r>
          </w:p>
        </w:tc>
      </w:tr>
      <w:tr>
        <w:tc>
          <w:tcPr>
            <w:tcW w:type="dxa" w:w="2268"/>
            <w:shd w:val="clear" w:color="auto" w:fill="F2F6FA"/>
          </w:tcPr>
          <w:p>
            <w:r>
              <w:rPr>
                <w:sz w:val="18"/>
              </w:rPr>
              <w:t>麦富迪欧睿认证</w:t>
            </w:r>
          </w:p>
        </w:tc>
        <w:tc>
          <w:tcPr>
            <w:tcW w:type="dxa" w:w="1701"/>
            <w:shd w:val="clear" w:color="auto" w:fill="F2F6FA"/>
          </w:tcPr>
          <w:p>
            <w:r>
              <w:rPr>
                <w:sz w:val="18"/>
              </w:rPr>
              <w:t>2025年8月</w:t>
            </w:r>
          </w:p>
        </w:tc>
        <w:tc>
          <w:tcPr>
            <w:tcW w:type="dxa" w:w="2835"/>
            <w:shd w:val="clear" w:color="auto" w:fill="F2F6FA"/>
          </w:tcPr>
          <w:p>
            <w:r>
              <w:rPr>
                <w:sz w:val="18"/>
              </w:rPr>
              <w:t>欧睿咨询</w:t>
            </w:r>
          </w:p>
        </w:tc>
        <w:tc>
          <w:tcPr>
            <w:tcW w:type="dxa" w:w="1134"/>
            <w:shd w:val="clear" w:color="auto" w:fill="F2F6FA"/>
          </w:tcPr>
          <w:p>
            <w:r>
              <w:rPr>
                <w:sz w:val="18"/>
              </w:rPr>
              <w:t>✓已验证</w:t>
            </w:r>
          </w:p>
        </w:tc>
      </w:tr>
      <w:tr>
        <w:tc>
          <w:tcPr>
            <w:tcW w:type="dxa" w:w="2268"/>
          </w:tcPr>
          <w:p>
            <w:r>
              <w:rPr>
                <w:sz w:val="18"/>
              </w:rPr>
              <w:t>IPO拟募资</w:t>
            </w:r>
          </w:p>
        </w:tc>
        <w:tc>
          <w:tcPr>
            <w:tcW w:type="dxa" w:w="1701"/>
          </w:tcPr>
          <w:p>
            <w:r>
              <w:rPr>
                <w:sz w:val="18"/>
              </w:rPr>
              <w:t>5.68亿元</w:t>
            </w:r>
          </w:p>
        </w:tc>
        <w:tc>
          <w:tcPr>
            <w:tcW w:type="dxa" w:w="2835"/>
          </w:tcPr>
          <w:p>
            <w:r>
              <w:rPr>
                <w:sz w:val="18"/>
              </w:rPr>
              <w:t>福贝招股书</w:t>
            </w:r>
          </w:p>
        </w:tc>
        <w:tc>
          <w:tcPr>
            <w:tcW w:type="dxa" w:w="1134"/>
          </w:tcPr>
          <w:p>
            <w:r>
              <w:rPr>
                <w:sz w:val="18"/>
              </w:rPr>
              <w:t>✓已验证</w:t>
            </w:r>
          </w:p>
        </w:tc>
      </w:tr>
    </w:tbl>
    <w:p>
      <w:pPr>
        <w:pStyle w:val="Heading2"/>
      </w:pPr>
      <w:r>
        <w:rPr>
          <w:color w:val="1A2744"/>
        </w:rPr>
        <w:t>A.2  验证状态说明</w:t>
      </w:r>
    </w:p>
    <w:p>
      <w:r>
        <w:rPr>
          <w:b/>
          <w:color w:val="1A1A17"/>
          <w:sz w:val="21"/>
        </w:rPr>
        <w:t xml:space="preserve">▎ </w:t>
      </w:r>
      <w:r>
        <w:rPr>
          <w:color w:val="1A1A17"/>
          <w:sz w:val="21"/>
        </w:rPr>
        <w:t>✓已验证——数据可通过本附录列出的公开来源独立核实。△综合评估——基于多源信息的分析性判断而非单一事实数据，带有分析者主观判断成分。※逸凡提供——数据由项目委托人在研究过程中提供，未独立核验。</w:t>
      </w:r>
    </w:p>
    <w:p>
      <w:pPr>
        <w:pStyle w:val="Heading2"/>
      </w:pPr>
      <w:r>
        <w:rPr>
          <w:color w:val="1A2744"/>
        </w:rPr>
        <w:t>A.3  本报告局限性</w:t>
      </w:r>
    </w:p>
    <w:p>
      <w:r>
        <w:rPr>
          <w:color w:val="1A1A17"/>
          <w:sz w:val="21"/>
        </w:rPr>
        <w:t>①部分品牌数据来自SEO软文和第三方测评（淘江湖、博客园），可能存在品牌方付费合作动机。②各品牌抖音/小红书声量评级为定性判断，非定量数据。③招股书数据未经独立审计验证。④未上市品牌（伯纳天纯、鲜朗、蓝氏）公开信息较少，分析深度受限。⑤国际品牌（皇家/普瑞纳）中国区财务数据未单独披露。</w:t>
      </w:r>
    </w:p>
    <w:p>
      <w:pPr>
        <w:pStyle w:val="Heading2"/>
      </w:pPr>
      <w:r>
        <w:rPr>
          <w:color w:val="1A2744"/>
        </w:rPr>
        <w:t>A.4  来源文献列表</w:t>
      </w:r>
    </w:p>
    <w:p>
      <w:r>
        <w:rPr>
          <w:b/>
          <w:color w:val="1A1A17"/>
          <w:sz w:val="20"/>
        </w:rPr>
        <w:t>市场与行业数据</w:t>
      </w:r>
    </w:p>
    <w:p>
      <w:r>
        <w:rPr>
          <w:color w:val="555555"/>
          <w:sz w:val="18"/>
        </w:rPr>
        <w:t>· 前瞻产业研究院《2026年中国宠物食品行业全景图谱》</w:t>
      </w:r>
    </w:p>
    <w:p>
      <w:r>
        <w:rPr>
          <w:color w:val="555555"/>
          <w:sz w:val="18"/>
        </w:rPr>
        <w:t>· 弗若斯特沙利文宠物食品市场数据（福贝招股书引用）</w:t>
      </w:r>
    </w:p>
    <w:p>
      <w:r>
        <w:rPr>
          <w:color w:val="555555"/>
          <w:sz w:val="18"/>
        </w:rPr>
        <w:t>· 艾媒咨询《2025年中国宠物食品十大品牌》</w:t>
      </w:r>
    </w:p>
    <w:p>
      <w:r>
        <w:rPr>
          <w:color w:val="555555"/>
          <w:sz w:val="18"/>
        </w:rPr>
        <w:t>· 中国品牌网 chinapp.com 2026年十大品牌</w:t>
      </w:r>
    </w:p>
    <w:p>
      <w:r>
        <w:rPr>
          <w:color w:val="555555"/>
          <w:sz w:val="18"/>
        </w:rPr>
        <w:t>· CNPP十大品牌网 cnpp.cn 212品牌21万+投票</w:t>
      </w:r>
    </w:p>
    <w:p>
      <w:r>
        <w:rPr>
          <w:color w:val="555555"/>
          <w:sz w:val="18"/>
        </w:rPr>
        <w:t>· 欧睿咨询认证麦富迪为中国宠物食品第一品牌（2025.8）</w:t>
      </w:r>
    </w:p>
    <w:p>
      <w:r>
        <w:rPr>
          <w:b/>
          <w:color w:val="1A1A17"/>
          <w:sz w:val="20"/>
        </w:rPr>
        <w:t>企业财务与招股书</w:t>
      </w:r>
    </w:p>
    <w:p>
      <w:r>
        <w:rPr>
          <w:color w:val="555555"/>
          <w:sz w:val="18"/>
        </w:rPr>
        <w:t>· 福贝宠物港股招股书（2026年6月）</w:t>
      </w:r>
    </w:p>
    <w:p>
      <w:r>
        <w:rPr>
          <w:color w:val="555555"/>
          <w:sz w:val="18"/>
        </w:rPr>
        <w:t>· 乖宝宠物2025年报/2024年报</w:t>
      </w:r>
    </w:p>
    <w:p>
      <w:r>
        <w:rPr>
          <w:color w:val="555555"/>
          <w:sz w:val="18"/>
        </w:rPr>
        <w:t>· 中宠股份2024年报</w:t>
      </w:r>
    </w:p>
    <w:p>
      <w:r>
        <w:rPr>
          <w:color w:val="555555"/>
          <w:sz w:val="18"/>
        </w:rPr>
        <w:t>· 新浪财经/中善资本《福贝宠物递表港交所》（2026-06-02）</w:t>
      </w:r>
    </w:p>
    <w:p>
      <w:r>
        <w:rPr>
          <w:color w:val="555555"/>
          <w:sz w:val="18"/>
        </w:rPr>
        <w:t>· 腾讯新闻/长江商报《福贝宠物营收停滞净利降40%》（2026-06-08）</w:t>
      </w:r>
    </w:p>
    <w:p>
      <w:r>
        <w:rPr>
          <w:color w:val="555555"/>
          <w:sz w:val="18"/>
        </w:rPr>
        <w:t>· 东方财富2026年乖宝宠物报道</w:t>
      </w:r>
    </w:p>
    <w:p>
      <w:r>
        <w:rPr>
          <w:b/>
          <w:color w:val="1A1A17"/>
          <w:sz w:val="20"/>
        </w:rPr>
        <w:t>品牌深度分析</w:t>
      </w:r>
    </w:p>
    <w:p>
      <w:r>
        <w:rPr>
          <w:color w:val="555555"/>
          <w:sz w:val="18"/>
        </w:rPr>
        <w:t>· CBNData/第一财经 Growth50案例评选——乖宝宠物·麦富迪</w:t>
      </w:r>
    </w:p>
    <w:p>
      <w:r>
        <w:rPr>
          <w:color w:val="555555"/>
          <w:sz w:val="18"/>
        </w:rPr>
        <w:t>· 虎嗅《中国第二大宠物粮代工厂，困在品牌与制造之间》（2026-06-03）</w:t>
      </w:r>
    </w:p>
    <w:p>
      <w:r>
        <w:rPr>
          <w:color w:val="555555"/>
          <w:sz w:val="18"/>
        </w:rPr>
        <w:t>· 搜狐/诸葛研究《2万字解密麦富迪》（2023-09-21）</w:t>
      </w:r>
    </w:p>
    <w:p>
      <w:r>
        <w:rPr>
          <w:color w:val="555555"/>
          <w:sz w:val="18"/>
        </w:rPr>
        <w:t>· 搜狐/宠吾代《代工之王如何炼成》</w:t>
      </w:r>
    </w:p>
    <w:p>
      <w:r>
        <w:rPr>
          <w:b/>
          <w:color w:val="1A1A17"/>
          <w:sz w:val="20"/>
        </w:rPr>
        <w:t>产品力与测评</w:t>
      </w:r>
    </w:p>
    <w:p>
      <w:r>
        <w:rPr>
          <w:color w:val="555555"/>
          <w:sz w:val="18"/>
        </w:rPr>
        <w:t>· 淘江湖《2026国产狗粮10品牌深度对比》（2026-06）</w:t>
      </w:r>
    </w:p>
    <w:p>
      <w:r>
        <w:rPr>
          <w:color w:val="555555"/>
          <w:sz w:val="18"/>
        </w:rPr>
        <w:t>· 博客园《从比乐看鸭肉梨狗粮品牌优选》（2026-05-28）</w:t>
      </w:r>
    </w:p>
    <w:p>
      <w:r>
        <w:rPr>
          <w:color w:val="555555"/>
          <w:sz w:val="18"/>
        </w:rPr>
        <w:t>· 博客园《比乐以分阶营养与透明品控树立双标杆》（2026-06）</w:t>
      </w:r>
    </w:p>
    <w:p>
      <w:r>
        <w:rPr>
          <w:color w:val="555555"/>
          <w:sz w:val="18"/>
        </w:rPr>
        <w:t>· 网易订阅《比生老友暖心启幕》（2025-05-26）</w:t>
      </w:r>
    </w:p>
    <w:p>
      <w:r>
        <w:rPr>
          <w:b/>
          <w:color w:val="1A1A17"/>
          <w:sz w:val="20"/>
        </w:rPr>
        <w:t>竞品营销</w:t>
      </w:r>
    </w:p>
    <w:p>
      <w:r>
        <w:rPr>
          <w:color w:val="555555"/>
          <w:sz w:val="18"/>
        </w:rPr>
        <w:t>· 中华网《去泪痕狗粮核心技术解析》（2026-05-14）</w:t>
      </w:r>
    </w:p>
    <w:p>
      <w:r>
        <w:rPr>
          <w:color w:val="555555"/>
          <w:sz w:val="18"/>
        </w:rPr>
        <w:t>· 新华网《蓝氏奶盾开启宠物高阶营养》（2025-08-20）</w:t>
      </w:r>
    </w:p>
    <w:p>
      <w:r>
        <w:rPr>
          <w:color w:val="555555"/>
          <w:sz w:val="18"/>
        </w:rPr>
        <w:t>· 今日头条《蓝氏新品亮相它博会》（2025-05-08）</w:t>
      </w:r>
    </w:p>
    <w:p>
      <w:r>
        <w:rPr>
          <w:color w:val="555555"/>
          <w:sz w:val="18"/>
        </w:rPr>
        <w:t>· 抖音@蓝氏官方旗舰店——王濛联名（2026-04-27）</w:t>
      </w:r>
    </w:p>
    <w:p>
      <w:r>
        <w:rPr>
          <w:color w:val="555555"/>
          <w:sz w:val="18"/>
        </w:rPr>
        <w:t>· 搜狐《2026宠物代言新风向》（2026-05-28）</w:t>
      </w:r>
    </w:p>
    <w:p/>
    <w:p>
      <w:pPr>
        <w:jc w:val="center"/>
      </w:pPr>
      <w:r>
        <w:rPr>
          <w:b/>
          <w:color w:val="888899"/>
          <w:sz w:val="24"/>
        </w:rPr>
        <w:t>— 报告完 —</w:t>
      </w:r>
    </w:p>
    <w:p/>
    <w:p>
      <w:pPr>
        <w:jc w:val="center"/>
      </w:pPr>
      <w:r>
        <w:rPr>
          <w:i/>
          <w:color w:val="999999"/>
          <w:sz w:val="16"/>
        </w:rPr>
        <w:t>报告生成时间：2026年7月12日 CST | 燃创咨询项目准备文件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sz w:val="21"/>
      <w:rFonts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Microsoft YaHei" w:hAnsi="Microsoft YaHei"/>
      <w:b/>
      <w:bCs/>
      <w:color w:val="1A2744"/>
      <w:sz w:val="36"/>
      <w:szCs w:val="28"/>
      <w:rFonts w:eastAsia="Microsoft YaHei"/>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Microsoft YaHei" w:hAnsi="Microsoft YaHei"/>
      <w:b/>
      <w:bCs/>
      <w:color w:val="1A2744"/>
      <w:sz w:val="30"/>
      <w:szCs w:val="26"/>
      <w:rFonts w:eastAsia="Microsoft YaHei"/>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b/>
      <w:bCs/>
      <w:color w:val="1A2744"/>
      <w:sz w:val="24"/>
      <w:rFonts w:eastAsia="Microsoft YaHe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ns0:Relationship xmlns:ns0="http://schemas.openxmlformats.org/officeDocument/2006/relationships" Id="rId32" Type="http://schemas.openxmlformats.org/officeDocument/2006/relationships/image" Target="media/image24.png"/><ns1:Relationship xmlns:ns1="http://schemas.openxmlformats.org/officeDocument/2006/relationships" Id="rId33" Type="http://schemas.openxmlformats.org/officeDocument/2006/relationships/image" Target="media/image25.png"/><ns2:Relationship xmlns:ns2="http://schemas.openxmlformats.org/officeDocument/2006/relationships" Id="rId34" Type="http://schemas.openxmlformats.org/officeDocument/2006/relationships/image" Target="media/image26.png"/><ns3:Relationship xmlns:ns3="http://schemas.openxmlformats.org/officeDocument/2006/relationships"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